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15F" w14:textId="604E07DF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 w:rsidR="00750D3A" w:rsidRPr="00750D3A">
        <w:rPr>
          <w:rFonts w:ascii="Arial" w:eastAsia="Times New Roman" w:hAnsi="Arial" w:cs="Arial"/>
          <w:b/>
          <w:i/>
          <w:sz w:val="20"/>
          <w:szCs w:val="20"/>
          <w:lang w:val="en"/>
        </w:rPr>
        <w:t>Master Protocols and Complex Innovative Design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104A56A7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750D3A" w:rsidRPr="00750D3A">
        <w:rPr>
          <w:rFonts w:ascii="Arial" w:eastAsia="Times New Roman" w:hAnsi="Arial" w:cs="Arial"/>
          <w:i/>
          <w:sz w:val="20"/>
          <w:szCs w:val="20"/>
          <w:lang w:val="en"/>
        </w:rPr>
        <w:t>Master Protocols and Complex Innovative Design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750D3A" w:rsidRPr="00750D3A">
        <w:rPr>
          <w:rFonts w:ascii="Arial" w:hAnsi="Arial" w:cs="Arial"/>
          <w:sz w:val="20"/>
          <w:szCs w:val="20"/>
        </w:rPr>
        <w:t>November 4-5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750D3A">
        <w:rPr>
          <w:rFonts w:ascii="Arial" w:hAnsi="Arial" w:cs="Arial"/>
          <w:sz w:val="20"/>
          <w:szCs w:val="20"/>
        </w:rPr>
        <w:t>Virtual Conference</w:t>
      </w:r>
    </w:p>
    <w:p w14:paraId="56BF9164" w14:textId="69C28498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16C84" w:rsidRPr="00750D3A">
        <w:rPr>
          <w:rFonts w:ascii="Arial" w:hAnsi="Arial" w:cs="Arial"/>
          <w:sz w:val="20"/>
          <w:szCs w:val="20"/>
        </w:rPr>
        <w:t>conference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750D3A">
        <w:rPr>
          <w:rFonts w:ascii="Arial" w:hAnsi="Arial" w:cs="Arial"/>
          <w:color w:val="353535"/>
          <w:sz w:val="20"/>
          <w:szCs w:val="20"/>
          <w:lang w:val="en"/>
        </w:rPr>
        <w:t>t</w:t>
      </w:r>
      <w:r w:rsidR="00750D3A" w:rsidRPr="00750D3A">
        <w:rPr>
          <w:rFonts w:ascii="Arial" w:hAnsi="Arial" w:cs="Arial"/>
          <w:color w:val="353535"/>
          <w:sz w:val="20"/>
          <w:szCs w:val="20"/>
          <w:lang w:val="en"/>
        </w:rPr>
        <w:t xml:space="preserve">he evolution of clinical trial designs has accelerated since the onset of the pandemic to meet patient and logistical need.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750D3A" w:rsidRPr="00750D3A">
        <w:rPr>
          <w:rFonts w:ascii="Arial" w:eastAsia="Times New Roman" w:hAnsi="Arial" w:cs="Arial"/>
          <w:i/>
          <w:sz w:val="20"/>
          <w:szCs w:val="20"/>
          <w:lang w:val="en"/>
        </w:rPr>
        <w:t>Master Protocols and Complex Innovative Design</w:t>
      </w:r>
      <w:r w:rsidR="00750D3A" w:rsidRPr="00750D3A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039D4" w14:textId="2C127F30" w:rsidR="00750D3A" w:rsidRDefault="00316C84" w:rsidP="00750D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750D3A">
        <w:rPr>
          <w:rFonts w:ascii="Arial" w:eastAsia="Times New Roman" w:hAnsi="Arial" w:cs="Arial"/>
          <w:sz w:val="20"/>
          <w:szCs w:val="20"/>
        </w:rPr>
        <w:t xml:space="preserve">In addition, </w:t>
      </w:r>
      <w:r w:rsidR="00750D3A" w:rsidRPr="00750D3A">
        <w:rPr>
          <w:rFonts w:ascii="Arial" w:eastAsia="Times New Roman" w:hAnsi="Arial" w:cs="Arial"/>
          <w:sz w:val="20"/>
          <w:szCs w:val="20"/>
        </w:rPr>
        <w:t xml:space="preserve">DIA’s Master Protocol and Complex Innovative Designs Meeting will bring together a truly multidisciplinary group of experts in clinical trial planning, </w:t>
      </w:r>
      <w:r w:rsidR="00750D3A" w:rsidRPr="00750D3A">
        <w:rPr>
          <w:rFonts w:ascii="Arial" w:eastAsia="Times New Roman" w:hAnsi="Arial" w:cs="Arial"/>
          <w:sz w:val="20"/>
          <w:szCs w:val="20"/>
        </w:rPr>
        <w:t>execution,</w:t>
      </w:r>
      <w:r w:rsidR="00750D3A" w:rsidRPr="00750D3A">
        <w:rPr>
          <w:rFonts w:ascii="Arial" w:eastAsia="Times New Roman" w:hAnsi="Arial" w:cs="Arial"/>
          <w:sz w:val="20"/>
          <w:szCs w:val="20"/>
        </w:rPr>
        <w:t xml:space="preserve"> and analysis to share and discuss both the common and unique challenges and opportunities in the adoption of master protocols and complex innovative design. </w:t>
      </w:r>
    </w:p>
    <w:p w14:paraId="30F3F371" w14:textId="3F9E9721" w:rsidR="00C04839" w:rsidRDefault="006A47E7" w:rsidP="00750D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856CB2" w:rsidRPr="00750D3A">
        <w:rPr>
          <w:rFonts w:ascii="Arial" w:hAnsi="Arial" w:cs="Arial"/>
          <w:sz w:val="20"/>
          <w:szCs w:val="20"/>
        </w:rPr>
        <w:t>conference</w:t>
      </w:r>
      <w:r w:rsidRPr="00750D3A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 xml:space="preserve">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750D3A" w:rsidRPr="00750D3A">
        <w:rPr>
          <w:rFonts w:ascii="Arial" w:eastAsia="Times New Roman" w:hAnsi="Arial" w:cs="Arial"/>
          <w:sz w:val="20"/>
          <w:szCs w:val="20"/>
        </w:rPr>
        <w:t>innovation in clinical trial designs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669AD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Clinical Data Management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7F1736F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Clinical Data Management/</w:t>
      </w:r>
      <w:proofErr w:type="spellStart"/>
      <w:r w:rsidRPr="00750D3A">
        <w:rPr>
          <w:rFonts w:ascii="Arial" w:hAnsi="Arial" w:cs="Arial"/>
          <w:bCs/>
          <w:color w:val="000000"/>
          <w:sz w:val="20"/>
          <w:szCs w:val="20"/>
        </w:rPr>
        <w:t>eClinical</w:t>
      </w:r>
      <w:proofErr w:type="spellEnd"/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297E5D8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Clinical Research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9298F44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Good Clinical Practice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1660E63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Patient Engagement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0A1ECC7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Research &amp; Development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E5DA0AF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Rare, Orphan Diseases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69F6A21" w14:textId="77777777" w:rsidR="00750D3A" w:rsidRDefault="00750D3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Strategic Planning</w:t>
      </w:r>
      <w:r w:rsidRPr="00750D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6BF917C" w14:textId="2ECF23DF" w:rsidR="00BA10E7" w:rsidRPr="00750D3A" w:rsidRDefault="00750D3A" w:rsidP="00750D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50D3A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572B30A4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C25C1" w:rsidRPr="00750D3A">
        <w:rPr>
          <w:rFonts w:ascii="Arial" w:hAnsi="Arial" w:cs="Arial"/>
          <w:sz w:val="20"/>
          <w:szCs w:val="20"/>
        </w:rPr>
        <w:t>conference</w:t>
      </w:r>
      <w:r w:rsidRPr="00750D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2EF5F64B" w:rsidR="00A81119" w:rsidRDefault="0098522C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6A47E7"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="006A47E7" w:rsidRPr="009A3659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="006A47E7" w:rsidRPr="009A3659">
        <w:rPr>
          <w:rStyle w:val="Strong"/>
          <w:rFonts w:ascii="Arial" w:hAnsi="Arial" w:cs="Arial"/>
          <w:sz w:val="20"/>
          <w:szCs w:val="20"/>
        </w:rPr>
        <w:t>below</w:t>
      </w:r>
      <w:proofErr w:type="gramEnd"/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2CF6789C" w:rsidR="00D90C6A" w:rsidRDefault="00D90C6A" w:rsidP="00AC1BE2">
      <w:pPr>
        <w:pStyle w:val="NormalWeb"/>
      </w:pPr>
    </w:p>
    <w:p w14:paraId="067DB897" w14:textId="201F2A03" w:rsidR="00750D3A" w:rsidRDefault="00750D3A" w:rsidP="00AC1BE2">
      <w:pPr>
        <w:pStyle w:val="NormalWeb"/>
      </w:pPr>
    </w:p>
    <w:p w14:paraId="669B6E8F" w14:textId="77777777" w:rsidR="00750D3A" w:rsidRDefault="00750D3A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7A22642F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B83663">
              <w:rPr>
                <w:rFonts w:ascii="Arial" w:hAnsi="Arial" w:cs="Arial"/>
                <w:b/>
                <w:sz w:val="20"/>
                <w:szCs w:val="20"/>
              </w:rPr>
              <w:t>8/12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3FA2123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245" w:type="dxa"/>
          </w:tcPr>
          <w:p w14:paraId="3F8C5556" w14:textId="169B3FD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0F35648B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245" w:type="dxa"/>
          </w:tcPr>
          <w:p w14:paraId="044EE688" w14:textId="7FF0DDB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4F97000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2245" w:type="dxa"/>
          </w:tcPr>
          <w:p w14:paraId="08286A97" w14:textId="672E805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5B8E10CC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B83663">
              <w:rPr>
                <w:rFonts w:ascii="Arial" w:hAnsi="Arial" w:cs="Arial"/>
                <w:b/>
                <w:sz w:val="20"/>
                <w:szCs w:val="20"/>
              </w:rPr>
              <w:t>9/09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32F5DAF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245" w:type="dxa"/>
          </w:tcPr>
          <w:p w14:paraId="757B3F56" w14:textId="3FBC0E3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2BFCFC3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45" w:type="dxa"/>
          </w:tcPr>
          <w:p w14:paraId="44A09235" w14:textId="3DB5C9F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4D00A84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2245" w:type="dxa"/>
          </w:tcPr>
          <w:p w14:paraId="44333137" w14:textId="5A1366D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4B69D9F2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B83663">
              <w:rPr>
                <w:rFonts w:ascii="Arial" w:hAnsi="Arial" w:cs="Arial"/>
                <w:b/>
                <w:sz w:val="20"/>
                <w:szCs w:val="20"/>
              </w:rPr>
              <w:t>9/10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299C191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245" w:type="dxa"/>
          </w:tcPr>
          <w:p w14:paraId="2C982E75" w14:textId="7595594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0B4F5931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245" w:type="dxa"/>
          </w:tcPr>
          <w:p w14:paraId="0A71540D" w14:textId="5D48F7A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1B9D42E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245" w:type="dxa"/>
          </w:tcPr>
          <w:p w14:paraId="686B304F" w14:textId="2C83E2E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B83663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2882CE76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750D3A" w:rsidRPr="00750D3A">
        <w:rPr>
          <w:rFonts w:ascii="Arial" w:hAnsi="Arial" w:cs="Arial"/>
          <w:i/>
          <w:sz w:val="20"/>
          <w:szCs w:val="20"/>
          <w:lang w:val="en"/>
        </w:rPr>
        <w:t>Master Protocols and Complex Innovative Design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93FC2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0D3A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83663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F87260-E72A-4326-9444-CA593A8D0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2</cp:revision>
  <cp:lastPrinted>2014-09-25T16:10:00Z</cp:lastPrinted>
  <dcterms:created xsi:type="dcterms:W3CDTF">2021-04-30T13:01:00Z</dcterms:created>
  <dcterms:modified xsi:type="dcterms:W3CDTF">2021-04-30T13:01:00Z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