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F915F" w14:textId="604E07DF" w:rsidR="006127BB" w:rsidRPr="006127BB" w:rsidRDefault="006127BB" w:rsidP="006127B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lang w:val="en"/>
        </w:rPr>
      </w:pPr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 xml:space="preserve">Below, </w:t>
      </w:r>
      <w:proofErr w:type="gramStart"/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>you'll</w:t>
      </w:r>
      <w:proofErr w:type="gramEnd"/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 xml:space="preserve"> find a "justification letter" template — a letter to yo</w:t>
      </w:r>
      <w:r w:rsidR="004478D5">
        <w:rPr>
          <w:rFonts w:ascii="Arial" w:eastAsia="Times New Roman" w:hAnsi="Arial" w:cs="Arial"/>
          <w:b/>
          <w:sz w:val="20"/>
          <w:szCs w:val="20"/>
          <w:lang w:val="en"/>
        </w:rPr>
        <w:t xml:space="preserve">ur supervisor explaining all </w:t>
      </w:r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 xml:space="preserve">the benefits you'll get from attending the </w:t>
      </w:r>
      <w:r w:rsidR="00750D3A" w:rsidRPr="00750D3A">
        <w:rPr>
          <w:rFonts w:ascii="Arial" w:eastAsia="Times New Roman" w:hAnsi="Arial" w:cs="Arial"/>
          <w:b/>
          <w:i/>
          <w:sz w:val="20"/>
          <w:szCs w:val="20"/>
          <w:lang w:val="en"/>
        </w:rPr>
        <w:t>Master Protocols and Complex Innovative Design</w:t>
      </w:r>
      <w:r w:rsidRPr="00D8090C">
        <w:rPr>
          <w:rFonts w:ascii="Arial" w:eastAsia="Times New Roman" w:hAnsi="Arial" w:cs="Arial"/>
          <w:b/>
          <w:i/>
          <w:sz w:val="20"/>
          <w:szCs w:val="20"/>
          <w:lang w:val="en"/>
        </w:rPr>
        <w:t>,</w:t>
      </w:r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 xml:space="preserve"> how they will make you a better employee and help advance your organization.</w:t>
      </w:r>
    </w:p>
    <w:p w14:paraId="56BF9160" w14:textId="77777777" w:rsidR="006127BB" w:rsidRPr="006127BB" w:rsidRDefault="006127BB" w:rsidP="006127B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lang w:val="en"/>
        </w:rPr>
      </w:pPr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>This general template will get you started while allowing you to customize it to you and your organization's particular needs.</w:t>
      </w:r>
    </w:p>
    <w:p w14:paraId="56BF9161" w14:textId="77777777" w:rsidR="006A47E7" w:rsidRPr="00D67BA0" w:rsidRDefault="006A47E7" w:rsidP="006A47E7">
      <w:pPr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</w:pPr>
      <w:r w:rsidRPr="00D67BA0"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  <w:t>&lt;Date&gt;</w:t>
      </w:r>
    </w:p>
    <w:p w14:paraId="56BF9162" w14:textId="77777777" w:rsidR="006A47E7" w:rsidRPr="00D67BA0" w:rsidRDefault="00ED109A" w:rsidP="006A47E7">
      <w:pPr>
        <w:rPr>
          <w:rFonts w:ascii="Arial" w:hAnsi="Arial" w:cs="Arial"/>
          <w:b/>
          <w:sz w:val="20"/>
          <w:szCs w:val="20"/>
        </w:rPr>
      </w:pPr>
      <w:r w:rsidRPr="00D67BA0">
        <w:rPr>
          <w:rFonts w:ascii="Arial" w:hAnsi="Arial" w:cs="Arial"/>
          <w:sz w:val="20"/>
          <w:szCs w:val="20"/>
        </w:rPr>
        <w:t>Dear &lt;</w:t>
      </w:r>
      <w:r w:rsidR="006A47E7" w:rsidRPr="00D67BA0"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  <w:t>Supervisor’s name&gt;,</w:t>
      </w:r>
    </w:p>
    <w:p w14:paraId="56BF9163" w14:textId="104A56A7" w:rsidR="006A47E7" w:rsidRDefault="006A47E7" w:rsidP="006A47E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would like to attend</w:t>
      </w:r>
      <w:r w:rsidR="00D41F0A">
        <w:rPr>
          <w:rFonts w:ascii="Arial" w:hAnsi="Arial" w:cs="Arial"/>
          <w:sz w:val="20"/>
          <w:szCs w:val="20"/>
        </w:rPr>
        <w:t xml:space="preserve"> the</w:t>
      </w:r>
      <w:r>
        <w:rPr>
          <w:rFonts w:ascii="Arial" w:hAnsi="Arial" w:cs="Arial"/>
          <w:sz w:val="20"/>
          <w:szCs w:val="20"/>
        </w:rPr>
        <w:t xml:space="preserve"> </w:t>
      </w:r>
      <w:r w:rsidR="00750D3A" w:rsidRPr="00750D3A">
        <w:rPr>
          <w:rFonts w:ascii="Arial" w:eastAsia="Times New Roman" w:hAnsi="Arial" w:cs="Arial"/>
          <w:i/>
          <w:sz w:val="20"/>
          <w:szCs w:val="20"/>
          <w:lang w:val="en"/>
        </w:rPr>
        <w:t>Master Protocols and Complex Innovative Design</w:t>
      </w:r>
      <w:r w:rsidR="00913DCB">
        <w:rPr>
          <w:rFonts w:ascii="Arial" w:hAnsi="Arial" w:cs="Arial"/>
          <w:sz w:val="20"/>
          <w:szCs w:val="20"/>
        </w:rPr>
        <w:t xml:space="preserve">, </w:t>
      </w:r>
      <w:r w:rsidR="00750D3A" w:rsidRPr="00750D3A">
        <w:rPr>
          <w:rFonts w:ascii="Arial" w:hAnsi="Arial" w:cs="Arial"/>
          <w:sz w:val="20"/>
          <w:szCs w:val="20"/>
        </w:rPr>
        <w:t>November 4-5</w:t>
      </w:r>
      <w:r w:rsidR="00595F27">
        <w:rPr>
          <w:rFonts w:ascii="Arial" w:hAnsi="Arial" w:cs="Arial"/>
          <w:sz w:val="20"/>
          <w:szCs w:val="20"/>
        </w:rPr>
        <w:t xml:space="preserve">, </w:t>
      </w:r>
      <w:r w:rsidR="00750D3A">
        <w:rPr>
          <w:rFonts w:ascii="Arial" w:hAnsi="Arial" w:cs="Arial"/>
          <w:sz w:val="20"/>
          <w:szCs w:val="20"/>
        </w:rPr>
        <w:t>Virtual Conference</w:t>
      </w:r>
    </w:p>
    <w:p w14:paraId="56BF9164" w14:textId="69C28498" w:rsidR="006A47E7" w:rsidRPr="00BC292A" w:rsidRDefault="006A47E7" w:rsidP="006A47E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This </w:t>
      </w:r>
      <w:r w:rsidR="00316C84" w:rsidRPr="00750D3A">
        <w:rPr>
          <w:rFonts w:ascii="Arial" w:hAnsi="Arial" w:cs="Arial"/>
          <w:sz w:val="20"/>
          <w:szCs w:val="20"/>
        </w:rPr>
        <w:t>conference</w:t>
      </w:r>
      <w:r w:rsidR="00316C84" w:rsidRPr="0000116F">
        <w:rPr>
          <w:rFonts w:ascii="Arial" w:hAnsi="Arial" w:cs="Arial"/>
          <w:sz w:val="20"/>
          <w:szCs w:val="20"/>
        </w:rPr>
        <w:t xml:space="preserve"> 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>brings together a global community o</w:t>
      </w:r>
      <w:r w:rsidR="00595F27">
        <w:rPr>
          <w:rFonts w:ascii="Arial" w:hAnsi="Arial" w:cs="Arial"/>
          <w:color w:val="353535"/>
          <w:sz w:val="20"/>
          <w:szCs w:val="20"/>
          <w:lang w:val="en"/>
        </w:rPr>
        <w:t>f professionals at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 all levels</w:t>
      </w:r>
      <w:r w:rsidR="00316C84">
        <w:rPr>
          <w:rFonts w:ascii="Arial" w:hAnsi="Arial" w:cs="Arial"/>
          <w:color w:val="353535"/>
          <w:sz w:val="20"/>
          <w:szCs w:val="20"/>
          <w:lang w:val="en"/>
        </w:rPr>
        <w:t>,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 </w:t>
      </w:r>
      <w:r w:rsidR="00595F27">
        <w:rPr>
          <w:rFonts w:ascii="Arial" w:hAnsi="Arial" w:cs="Arial"/>
          <w:color w:val="353535"/>
          <w:sz w:val="20"/>
          <w:szCs w:val="20"/>
          <w:lang w:val="en"/>
        </w:rPr>
        <w:t>all with a common goal of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 </w:t>
      </w:r>
      <w:r w:rsidR="00750D3A">
        <w:rPr>
          <w:rFonts w:ascii="Arial" w:hAnsi="Arial" w:cs="Arial"/>
          <w:color w:val="353535"/>
          <w:sz w:val="20"/>
          <w:szCs w:val="20"/>
          <w:lang w:val="en"/>
        </w:rPr>
        <w:t>t</w:t>
      </w:r>
      <w:r w:rsidR="00750D3A" w:rsidRPr="00750D3A">
        <w:rPr>
          <w:rFonts w:ascii="Arial" w:hAnsi="Arial" w:cs="Arial"/>
          <w:color w:val="353535"/>
          <w:sz w:val="20"/>
          <w:szCs w:val="20"/>
          <w:lang w:val="en"/>
        </w:rPr>
        <w:t xml:space="preserve">he evolution of clinical trial designs has accelerated since the onset of the pandemic to meet patient and logistical need. 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The </w:t>
      </w:r>
      <w:r w:rsidR="00750D3A" w:rsidRPr="00750D3A">
        <w:rPr>
          <w:rFonts w:ascii="Arial" w:eastAsia="Times New Roman" w:hAnsi="Arial" w:cs="Arial"/>
          <w:i/>
          <w:sz w:val="20"/>
          <w:szCs w:val="20"/>
          <w:lang w:val="en"/>
        </w:rPr>
        <w:t>Master Protocols and Complex Innovative Design</w:t>
      </w:r>
      <w:r w:rsidR="00750D3A" w:rsidRPr="00750D3A">
        <w:rPr>
          <w:rFonts w:ascii="Arial" w:eastAsia="Times New Roman" w:hAnsi="Arial" w:cs="Arial"/>
          <w:i/>
          <w:sz w:val="20"/>
          <w:szCs w:val="20"/>
          <w:lang w:val="en"/>
        </w:rPr>
        <w:t xml:space="preserve"> 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provides the </w:t>
      </w:r>
      <w:r w:rsidR="00006852">
        <w:rPr>
          <w:rFonts w:ascii="Arial" w:hAnsi="Arial" w:cs="Arial"/>
          <w:color w:val="353535"/>
          <w:sz w:val="20"/>
          <w:szCs w:val="20"/>
          <w:lang w:val="en"/>
        </w:rPr>
        <w:t>greatest</w:t>
      </w:r>
      <w:r w:rsidR="00006852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 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opportunity to meet with people </w:t>
      </w:r>
      <w:r w:rsidR="00595F27">
        <w:rPr>
          <w:rFonts w:ascii="Arial" w:hAnsi="Arial" w:cs="Arial"/>
          <w:color w:val="353535"/>
          <w:sz w:val="20"/>
          <w:szCs w:val="20"/>
          <w:lang w:val="en"/>
        </w:rPr>
        <w:t>from around the world, share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 views and knowledge, network, and build new relationships.</w:t>
      </w:r>
      <w:r w:rsidR="00BB64F3">
        <w:rPr>
          <w:rFonts w:ascii="Arial" w:eastAsia="Times New Roman" w:hAnsi="Arial" w:cs="Arial"/>
          <w:sz w:val="20"/>
          <w:szCs w:val="20"/>
        </w:rPr>
        <w:t xml:space="preserve">  </w:t>
      </w:r>
      <w:r w:rsidR="00316C84">
        <w:rPr>
          <w:rFonts w:ascii="Arial" w:eastAsia="Times New Roman" w:hAnsi="Arial" w:cs="Arial"/>
          <w:sz w:val="20"/>
          <w:szCs w:val="20"/>
        </w:rPr>
        <w:t xml:space="preserve"> </w:t>
      </w:r>
    </w:p>
    <w:p w14:paraId="2F7039D4" w14:textId="2C127F30" w:rsidR="00750D3A" w:rsidRDefault="00316C84" w:rsidP="00750D3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Numerous</w:t>
      </w:r>
      <w:r w:rsidR="006A47E7" w:rsidRPr="001B17F7">
        <w:rPr>
          <w:rFonts w:ascii="Arial" w:eastAsia="Times New Roman" w:hAnsi="Arial" w:cs="Arial"/>
          <w:sz w:val="20"/>
          <w:szCs w:val="20"/>
        </w:rPr>
        <w:t xml:space="preserve"> attendees, </w:t>
      </w:r>
      <w:r w:rsidR="00006852">
        <w:rPr>
          <w:rFonts w:ascii="Arial" w:eastAsia="Times New Roman" w:hAnsi="Arial" w:cs="Arial"/>
          <w:sz w:val="20"/>
          <w:szCs w:val="20"/>
        </w:rPr>
        <w:t>including</w:t>
      </w:r>
      <w:r w:rsidR="006A47E7" w:rsidRPr="001B17F7">
        <w:rPr>
          <w:rFonts w:ascii="Arial" w:eastAsia="Times New Roman" w:hAnsi="Arial" w:cs="Arial"/>
          <w:sz w:val="20"/>
          <w:szCs w:val="20"/>
        </w:rPr>
        <w:t xml:space="preserve"> industry professionals, clinicians, patient representatives, and regulatory agenc</w:t>
      </w:r>
      <w:r w:rsidR="00051313">
        <w:rPr>
          <w:rFonts w:ascii="Arial" w:eastAsia="Times New Roman" w:hAnsi="Arial" w:cs="Arial"/>
          <w:sz w:val="20"/>
          <w:szCs w:val="20"/>
        </w:rPr>
        <w:t>y representatives</w:t>
      </w:r>
      <w:r w:rsidR="00595F27">
        <w:rPr>
          <w:rFonts w:ascii="Arial" w:eastAsia="Times New Roman" w:hAnsi="Arial" w:cs="Arial"/>
          <w:sz w:val="20"/>
          <w:szCs w:val="20"/>
        </w:rPr>
        <w:t xml:space="preserve"> from </w:t>
      </w:r>
      <w:r>
        <w:rPr>
          <w:rFonts w:ascii="Arial" w:eastAsia="Times New Roman" w:hAnsi="Arial" w:cs="Arial"/>
          <w:sz w:val="20"/>
          <w:szCs w:val="20"/>
        </w:rPr>
        <w:t>around the globe</w:t>
      </w:r>
      <w:r w:rsidR="00595F27">
        <w:rPr>
          <w:rFonts w:ascii="Arial" w:eastAsia="Times New Roman" w:hAnsi="Arial" w:cs="Arial"/>
          <w:sz w:val="20"/>
          <w:szCs w:val="20"/>
        </w:rPr>
        <w:t xml:space="preserve">, will </w:t>
      </w:r>
      <w:r w:rsidR="006A47E7" w:rsidRPr="001B17F7">
        <w:rPr>
          <w:rFonts w:ascii="Arial" w:eastAsia="Times New Roman" w:hAnsi="Arial" w:cs="Arial"/>
          <w:sz w:val="20"/>
          <w:szCs w:val="20"/>
        </w:rPr>
        <w:t>att</w:t>
      </w:r>
      <w:r w:rsidR="00595F27">
        <w:rPr>
          <w:rFonts w:ascii="Arial" w:eastAsia="Times New Roman" w:hAnsi="Arial" w:cs="Arial"/>
          <w:sz w:val="20"/>
          <w:szCs w:val="20"/>
        </w:rPr>
        <w:t xml:space="preserve">end and present at this </w:t>
      </w:r>
      <w:r w:rsidR="006A47E7" w:rsidRPr="001B17F7">
        <w:rPr>
          <w:rFonts w:ascii="Arial" w:eastAsia="Times New Roman" w:hAnsi="Arial" w:cs="Arial"/>
          <w:sz w:val="20"/>
          <w:szCs w:val="20"/>
        </w:rPr>
        <w:t xml:space="preserve">event. </w:t>
      </w:r>
      <w:r w:rsidR="006A47E7" w:rsidRPr="00750D3A">
        <w:rPr>
          <w:rFonts w:ascii="Arial" w:eastAsia="Times New Roman" w:hAnsi="Arial" w:cs="Arial"/>
          <w:sz w:val="20"/>
          <w:szCs w:val="20"/>
        </w:rPr>
        <w:t xml:space="preserve">In addition, </w:t>
      </w:r>
      <w:r w:rsidR="00750D3A" w:rsidRPr="00750D3A">
        <w:rPr>
          <w:rFonts w:ascii="Arial" w:eastAsia="Times New Roman" w:hAnsi="Arial" w:cs="Arial"/>
          <w:sz w:val="20"/>
          <w:szCs w:val="20"/>
        </w:rPr>
        <w:t xml:space="preserve">DIA’s Master Protocol and Complex Innovative Designs Meeting will bring together a truly multidisciplinary group of experts in clinical trial planning, </w:t>
      </w:r>
      <w:r w:rsidR="00750D3A" w:rsidRPr="00750D3A">
        <w:rPr>
          <w:rFonts w:ascii="Arial" w:eastAsia="Times New Roman" w:hAnsi="Arial" w:cs="Arial"/>
          <w:sz w:val="20"/>
          <w:szCs w:val="20"/>
        </w:rPr>
        <w:t>execution,</w:t>
      </w:r>
      <w:r w:rsidR="00750D3A" w:rsidRPr="00750D3A">
        <w:rPr>
          <w:rFonts w:ascii="Arial" w:eastAsia="Times New Roman" w:hAnsi="Arial" w:cs="Arial"/>
          <w:sz w:val="20"/>
          <w:szCs w:val="20"/>
        </w:rPr>
        <w:t xml:space="preserve"> and analysis to share and discuss both the common and unique challenges and opportunities in the adoption of master protocols and complex innovative design. </w:t>
      </w:r>
    </w:p>
    <w:p w14:paraId="30F3F371" w14:textId="3F9E9721" w:rsidR="00C04839" w:rsidRDefault="006A47E7" w:rsidP="00750D3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1B17F7">
        <w:rPr>
          <w:rFonts w:ascii="Arial" w:eastAsia="Times New Roman" w:hAnsi="Arial" w:cs="Arial"/>
          <w:sz w:val="20"/>
          <w:szCs w:val="20"/>
        </w:rPr>
        <w:t xml:space="preserve">While attending this </w:t>
      </w:r>
      <w:r w:rsidR="00856CB2" w:rsidRPr="00750D3A">
        <w:rPr>
          <w:rFonts w:ascii="Arial" w:hAnsi="Arial" w:cs="Arial"/>
          <w:sz w:val="20"/>
          <w:szCs w:val="20"/>
        </w:rPr>
        <w:t>conference</w:t>
      </w:r>
      <w:r w:rsidRPr="00750D3A">
        <w:rPr>
          <w:rFonts w:ascii="Arial" w:eastAsia="Times New Roman" w:hAnsi="Arial" w:cs="Arial"/>
          <w:sz w:val="20"/>
          <w:szCs w:val="20"/>
        </w:rPr>
        <w:t>,</w:t>
      </w:r>
      <w:r w:rsidRPr="001B17F7">
        <w:rPr>
          <w:rFonts w:ascii="Arial" w:eastAsia="Times New Roman" w:hAnsi="Arial" w:cs="Arial"/>
          <w:sz w:val="20"/>
          <w:szCs w:val="20"/>
        </w:rPr>
        <w:t xml:space="preserve"> I will be able to </w:t>
      </w:r>
      <w:r w:rsidR="00BB64F3">
        <w:rPr>
          <w:rFonts w:ascii="Arial" w:eastAsia="Times New Roman" w:hAnsi="Arial" w:cs="Arial"/>
          <w:sz w:val="20"/>
          <w:szCs w:val="20"/>
        </w:rPr>
        <w:t>participate in</w:t>
      </w:r>
      <w:r w:rsidRPr="001B17F7">
        <w:rPr>
          <w:rFonts w:ascii="Arial" w:eastAsia="Times New Roman" w:hAnsi="Arial" w:cs="Arial"/>
          <w:sz w:val="20"/>
          <w:szCs w:val="20"/>
        </w:rPr>
        <w:t xml:space="preserve"> </w:t>
      </w:r>
      <w:r w:rsidR="00051313" w:rsidRPr="001B17F7">
        <w:rPr>
          <w:rFonts w:ascii="Arial" w:eastAsia="Times New Roman" w:hAnsi="Arial" w:cs="Arial"/>
          <w:sz w:val="20"/>
          <w:szCs w:val="20"/>
        </w:rPr>
        <w:t>several</w:t>
      </w:r>
      <w:r w:rsidRPr="001B17F7">
        <w:rPr>
          <w:rFonts w:ascii="Arial" w:eastAsia="Times New Roman" w:hAnsi="Arial" w:cs="Arial"/>
          <w:sz w:val="20"/>
          <w:szCs w:val="20"/>
        </w:rPr>
        <w:t xml:space="preserve"> </w:t>
      </w:r>
      <w:r w:rsidR="00545A03">
        <w:rPr>
          <w:rFonts w:ascii="Arial" w:eastAsia="Times New Roman" w:hAnsi="Arial" w:cs="Arial"/>
          <w:sz w:val="20"/>
          <w:szCs w:val="20"/>
        </w:rPr>
        <w:t xml:space="preserve">global, interdisciplinary, cross-functional </w:t>
      </w:r>
      <w:r w:rsidRPr="001B17F7">
        <w:rPr>
          <w:rFonts w:ascii="Arial" w:eastAsia="Times New Roman" w:hAnsi="Arial" w:cs="Arial"/>
          <w:sz w:val="20"/>
          <w:szCs w:val="20"/>
        </w:rPr>
        <w:t xml:space="preserve">educational </w:t>
      </w:r>
      <w:r w:rsidR="00692E85">
        <w:rPr>
          <w:rFonts w:ascii="Arial" w:eastAsia="Times New Roman" w:hAnsi="Arial" w:cs="Arial"/>
          <w:sz w:val="20"/>
          <w:szCs w:val="20"/>
        </w:rPr>
        <w:t>offerings</w:t>
      </w:r>
      <w:r w:rsidRPr="001B17F7">
        <w:rPr>
          <w:rFonts w:ascii="Arial" w:eastAsia="Times New Roman" w:hAnsi="Arial" w:cs="Arial"/>
          <w:sz w:val="20"/>
          <w:szCs w:val="20"/>
        </w:rPr>
        <w:t xml:space="preserve"> </w:t>
      </w:r>
      <w:r w:rsidR="00545A03">
        <w:rPr>
          <w:rFonts w:ascii="Arial" w:eastAsia="Times New Roman" w:hAnsi="Arial" w:cs="Arial"/>
          <w:sz w:val="20"/>
          <w:szCs w:val="20"/>
        </w:rPr>
        <w:t>with real</w:t>
      </w:r>
      <w:r w:rsidR="00251138">
        <w:rPr>
          <w:rFonts w:ascii="Arial" w:eastAsia="Times New Roman" w:hAnsi="Arial" w:cs="Arial"/>
          <w:sz w:val="20"/>
          <w:szCs w:val="20"/>
        </w:rPr>
        <w:t xml:space="preserve"> </w:t>
      </w:r>
      <w:r w:rsidR="00545A03">
        <w:rPr>
          <w:rFonts w:ascii="Arial" w:eastAsia="Times New Roman" w:hAnsi="Arial" w:cs="Arial"/>
          <w:sz w:val="20"/>
          <w:szCs w:val="20"/>
        </w:rPr>
        <w:t>world applications</w:t>
      </w:r>
      <w:r w:rsidR="00C04839">
        <w:rPr>
          <w:rFonts w:ascii="Arial" w:eastAsia="Times New Roman" w:hAnsi="Arial" w:cs="Arial"/>
          <w:sz w:val="20"/>
          <w:szCs w:val="20"/>
        </w:rPr>
        <w:t xml:space="preserve">. I will also </w:t>
      </w:r>
      <w:r w:rsidR="004E48C8">
        <w:rPr>
          <w:rFonts w:ascii="Arial" w:eastAsia="Times New Roman" w:hAnsi="Arial" w:cs="Arial"/>
          <w:sz w:val="20"/>
          <w:szCs w:val="20"/>
        </w:rPr>
        <w:t>have the unique ability to</w:t>
      </w:r>
      <w:r w:rsidR="00C04839">
        <w:rPr>
          <w:rFonts w:ascii="Arial" w:eastAsia="Times New Roman" w:hAnsi="Arial" w:cs="Arial"/>
          <w:sz w:val="20"/>
          <w:szCs w:val="20"/>
        </w:rPr>
        <w:t xml:space="preserve"> </w:t>
      </w:r>
      <w:r w:rsidRPr="001B17F7">
        <w:rPr>
          <w:rFonts w:ascii="Arial" w:eastAsia="Times New Roman" w:hAnsi="Arial" w:cs="Arial"/>
          <w:sz w:val="20"/>
          <w:szCs w:val="20"/>
        </w:rPr>
        <w:t xml:space="preserve">network with a variety of </w:t>
      </w:r>
      <w:r w:rsidR="00545A03">
        <w:rPr>
          <w:rFonts w:ascii="Arial" w:eastAsia="Times New Roman" w:hAnsi="Arial" w:cs="Arial"/>
          <w:sz w:val="20"/>
          <w:szCs w:val="20"/>
        </w:rPr>
        <w:t xml:space="preserve">top </w:t>
      </w:r>
      <w:r w:rsidRPr="001B17F7">
        <w:rPr>
          <w:rFonts w:ascii="Arial" w:eastAsia="Times New Roman" w:hAnsi="Arial" w:cs="Arial"/>
          <w:sz w:val="20"/>
          <w:szCs w:val="20"/>
        </w:rPr>
        <w:t xml:space="preserve">experts </w:t>
      </w:r>
      <w:r w:rsidR="00545A03">
        <w:rPr>
          <w:rFonts w:ascii="Arial" w:eastAsia="Times New Roman" w:hAnsi="Arial" w:cs="Arial"/>
          <w:sz w:val="20"/>
          <w:szCs w:val="20"/>
        </w:rPr>
        <w:t xml:space="preserve">in </w:t>
      </w:r>
      <w:r w:rsidR="00856CB2">
        <w:rPr>
          <w:rFonts w:ascii="Arial" w:eastAsia="Times New Roman" w:hAnsi="Arial" w:cs="Arial"/>
          <w:sz w:val="20"/>
          <w:szCs w:val="20"/>
        </w:rPr>
        <w:t xml:space="preserve">the </w:t>
      </w:r>
      <w:r w:rsidR="00750D3A" w:rsidRPr="00750D3A">
        <w:rPr>
          <w:rFonts w:ascii="Arial" w:eastAsia="Times New Roman" w:hAnsi="Arial" w:cs="Arial"/>
          <w:sz w:val="20"/>
          <w:szCs w:val="20"/>
        </w:rPr>
        <w:t>innovation in clinical trial designs</w:t>
      </w:r>
      <w:r w:rsidR="00856CB2">
        <w:rPr>
          <w:rFonts w:ascii="Arial" w:eastAsia="Times New Roman" w:hAnsi="Arial" w:cs="Arial"/>
          <w:sz w:val="20"/>
          <w:szCs w:val="20"/>
        </w:rPr>
        <w:t xml:space="preserve"> field. </w:t>
      </w:r>
    </w:p>
    <w:p w14:paraId="40893E2F" w14:textId="5334FEA1" w:rsidR="00550FE4" w:rsidRDefault="00856CB2" w:rsidP="006A47E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6BF9167" w14:textId="77777777" w:rsidR="006A47E7" w:rsidRPr="0000116F" w:rsidRDefault="006A47E7" w:rsidP="006A47E7">
      <w:pPr>
        <w:spacing w:after="0" w:line="240" w:lineRule="auto"/>
        <w:rPr>
          <w:rFonts w:ascii="Arial" w:hAnsi="Arial" w:cs="Arial"/>
          <w:color w:val="313131"/>
          <w:sz w:val="20"/>
          <w:szCs w:val="20"/>
        </w:rPr>
      </w:pPr>
    </w:p>
    <w:p w14:paraId="56BF9168" w14:textId="0B0054FF" w:rsidR="006A47E7" w:rsidRDefault="006A47E7" w:rsidP="006A47E7">
      <w:pPr>
        <w:spacing w:after="0" w:line="240" w:lineRule="auto"/>
        <w:ind w:left="360"/>
        <w:rPr>
          <w:rFonts w:ascii="Arial" w:hAnsi="Arial" w:cs="Arial"/>
          <w:b/>
          <w:color w:val="313131"/>
          <w:sz w:val="20"/>
          <w:szCs w:val="20"/>
        </w:rPr>
      </w:pPr>
      <w:r w:rsidRPr="0000116F">
        <w:rPr>
          <w:rFonts w:ascii="Arial" w:hAnsi="Arial" w:cs="Arial"/>
          <w:b/>
          <w:color w:val="313131"/>
          <w:sz w:val="20"/>
          <w:szCs w:val="20"/>
        </w:rPr>
        <w:t xml:space="preserve">&lt;select </w:t>
      </w:r>
      <w:r w:rsidR="0000116F" w:rsidRPr="0000116F">
        <w:rPr>
          <w:rFonts w:ascii="Arial" w:hAnsi="Arial" w:cs="Arial"/>
          <w:b/>
          <w:color w:val="313131"/>
          <w:sz w:val="20"/>
          <w:szCs w:val="20"/>
        </w:rPr>
        <w:t>interest areas</w:t>
      </w:r>
      <w:r w:rsidRPr="0000116F">
        <w:rPr>
          <w:rFonts w:ascii="Arial" w:hAnsi="Arial" w:cs="Arial"/>
          <w:b/>
          <w:color w:val="313131"/>
          <w:sz w:val="20"/>
          <w:szCs w:val="20"/>
        </w:rPr>
        <w:t xml:space="preserve"> applicable to you&gt;</w:t>
      </w:r>
    </w:p>
    <w:p w14:paraId="5DE3F90B" w14:textId="77777777" w:rsidR="004478D5" w:rsidRPr="0000116F" w:rsidRDefault="004478D5" w:rsidP="006A47E7">
      <w:pPr>
        <w:spacing w:after="0" w:line="240" w:lineRule="auto"/>
        <w:ind w:left="360"/>
        <w:rPr>
          <w:rFonts w:ascii="Arial" w:hAnsi="Arial" w:cs="Arial"/>
          <w:color w:val="313131"/>
          <w:sz w:val="20"/>
          <w:szCs w:val="20"/>
        </w:rPr>
      </w:pPr>
    </w:p>
    <w:p w14:paraId="56BF9169" w14:textId="77777777" w:rsidR="006A47E7" w:rsidRPr="0000116F" w:rsidRDefault="006A47E7" w:rsidP="006A47E7">
      <w:pPr>
        <w:pStyle w:val="ListParagraph"/>
        <w:numPr>
          <w:ilvl w:val="0"/>
          <w:numId w:val="1"/>
        </w:numPr>
        <w:spacing w:after="0" w:line="240" w:lineRule="auto"/>
        <w:ind w:left="1080"/>
        <w:rPr>
          <w:rFonts w:ascii="Arial" w:hAnsi="Arial" w:cs="Arial"/>
          <w:sz w:val="20"/>
          <w:szCs w:val="20"/>
        </w:rPr>
        <w:sectPr w:rsidR="006A47E7" w:rsidRPr="0000116F" w:rsidSect="006A47E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C2669AD" w14:textId="77777777" w:rsidR="00750D3A" w:rsidRDefault="00750D3A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750D3A">
        <w:rPr>
          <w:rFonts w:ascii="Arial" w:hAnsi="Arial" w:cs="Arial"/>
          <w:bCs/>
          <w:color w:val="000000"/>
          <w:sz w:val="20"/>
          <w:szCs w:val="20"/>
        </w:rPr>
        <w:t>Clinical Data Management</w:t>
      </w:r>
      <w:r w:rsidRPr="00750D3A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14:paraId="37F1736F" w14:textId="77777777" w:rsidR="00750D3A" w:rsidRDefault="00750D3A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750D3A">
        <w:rPr>
          <w:rFonts w:ascii="Arial" w:hAnsi="Arial" w:cs="Arial"/>
          <w:bCs/>
          <w:color w:val="000000"/>
          <w:sz w:val="20"/>
          <w:szCs w:val="20"/>
        </w:rPr>
        <w:t>Clinical Data Management/</w:t>
      </w:r>
      <w:proofErr w:type="spellStart"/>
      <w:r w:rsidRPr="00750D3A">
        <w:rPr>
          <w:rFonts w:ascii="Arial" w:hAnsi="Arial" w:cs="Arial"/>
          <w:bCs/>
          <w:color w:val="000000"/>
          <w:sz w:val="20"/>
          <w:szCs w:val="20"/>
        </w:rPr>
        <w:t>eClinical</w:t>
      </w:r>
      <w:proofErr w:type="spellEnd"/>
      <w:r w:rsidRPr="00750D3A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14:paraId="1297E5D8" w14:textId="77777777" w:rsidR="00750D3A" w:rsidRDefault="00750D3A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750D3A">
        <w:rPr>
          <w:rFonts w:ascii="Arial" w:hAnsi="Arial" w:cs="Arial"/>
          <w:bCs/>
          <w:color w:val="000000"/>
          <w:sz w:val="20"/>
          <w:szCs w:val="20"/>
        </w:rPr>
        <w:t>Clinical Research</w:t>
      </w:r>
      <w:r w:rsidRPr="00750D3A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14:paraId="49298F44" w14:textId="77777777" w:rsidR="00750D3A" w:rsidRDefault="00750D3A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750D3A">
        <w:rPr>
          <w:rFonts w:ascii="Arial" w:hAnsi="Arial" w:cs="Arial"/>
          <w:bCs/>
          <w:color w:val="000000"/>
          <w:sz w:val="20"/>
          <w:szCs w:val="20"/>
        </w:rPr>
        <w:t>Good Clinical Practice</w:t>
      </w:r>
      <w:r w:rsidRPr="00750D3A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14:paraId="01660E63" w14:textId="77777777" w:rsidR="00750D3A" w:rsidRDefault="00750D3A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750D3A">
        <w:rPr>
          <w:rFonts w:ascii="Arial" w:hAnsi="Arial" w:cs="Arial"/>
          <w:bCs/>
          <w:color w:val="000000"/>
          <w:sz w:val="20"/>
          <w:szCs w:val="20"/>
        </w:rPr>
        <w:t>Patient Engagement</w:t>
      </w:r>
      <w:r w:rsidRPr="00750D3A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14:paraId="40A1ECC7" w14:textId="77777777" w:rsidR="00750D3A" w:rsidRDefault="00750D3A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750D3A">
        <w:rPr>
          <w:rFonts w:ascii="Arial" w:hAnsi="Arial" w:cs="Arial"/>
          <w:bCs/>
          <w:color w:val="000000"/>
          <w:sz w:val="20"/>
          <w:szCs w:val="20"/>
        </w:rPr>
        <w:t>Research &amp; Development</w:t>
      </w:r>
      <w:r w:rsidRPr="00750D3A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14:paraId="1E5DA0AF" w14:textId="77777777" w:rsidR="00750D3A" w:rsidRDefault="00750D3A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750D3A">
        <w:rPr>
          <w:rFonts w:ascii="Arial" w:hAnsi="Arial" w:cs="Arial"/>
          <w:bCs/>
          <w:color w:val="000000"/>
          <w:sz w:val="20"/>
          <w:szCs w:val="20"/>
        </w:rPr>
        <w:t>Rare, Orphan Diseases</w:t>
      </w:r>
      <w:r w:rsidRPr="00750D3A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14:paraId="769F6A21" w14:textId="77777777" w:rsidR="00750D3A" w:rsidRDefault="00750D3A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750D3A">
        <w:rPr>
          <w:rFonts w:ascii="Arial" w:hAnsi="Arial" w:cs="Arial"/>
          <w:bCs/>
          <w:color w:val="000000"/>
          <w:sz w:val="20"/>
          <w:szCs w:val="20"/>
        </w:rPr>
        <w:t>Strategic Planning</w:t>
      </w:r>
      <w:r w:rsidRPr="00750D3A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14:paraId="56BF917C" w14:textId="2ECF23DF" w:rsidR="00BA10E7" w:rsidRPr="00750D3A" w:rsidRDefault="00750D3A" w:rsidP="00750D3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750D3A">
        <w:rPr>
          <w:rFonts w:ascii="Arial" w:hAnsi="Arial" w:cs="Arial"/>
          <w:bCs/>
          <w:color w:val="000000"/>
          <w:sz w:val="20"/>
          <w:szCs w:val="20"/>
        </w:rPr>
        <w:t>Statistics</w:t>
      </w:r>
    </w:p>
    <w:p w14:paraId="56BF917D" w14:textId="77777777" w:rsidR="00BA10E7" w:rsidRPr="00BA10E7" w:rsidRDefault="00BA10E7" w:rsidP="0000116F">
      <w:pPr>
        <w:pStyle w:val="ListParagraph"/>
        <w:spacing w:after="0" w:line="240" w:lineRule="auto"/>
        <w:ind w:left="1080"/>
        <w:rPr>
          <w:rFonts w:ascii="Arial" w:hAnsi="Arial" w:cs="Arial"/>
          <w:sz w:val="20"/>
          <w:szCs w:val="20"/>
        </w:rPr>
        <w:sectPr w:rsidR="00BA10E7" w:rsidRPr="00BA10E7" w:rsidSect="006A47E7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56BF917E" w14:textId="572B30A4" w:rsidR="00957B88" w:rsidRDefault="00957B88" w:rsidP="00957B88">
      <w:pPr>
        <w:pStyle w:val="NormalWeb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</w:rPr>
        <w:t xml:space="preserve">I am seeking your support </w:t>
      </w:r>
      <w:r w:rsidR="004E48C8">
        <w:rPr>
          <w:rFonts w:ascii="Arial" w:hAnsi="Arial" w:cs="Arial"/>
          <w:sz w:val="20"/>
          <w:szCs w:val="20"/>
        </w:rPr>
        <w:t>in attending</w:t>
      </w:r>
      <w:r>
        <w:rPr>
          <w:rFonts w:ascii="Arial" w:hAnsi="Arial" w:cs="Arial"/>
          <w:sz w:val="20"/>
          <w:szCs w:val="20"/>
        </w:rPr>
        <w:t xml:space="preserve"> this </w:t>
      </w:r>
      <w:r w:rsidR="00EC25C1" w:rsidRPr="00750D3A">
        <w:rPr>
          <w:rFonts w:ascii="Arial" w:hAnsi="Arial" w:cs="Arial"/>
          <w:sz w:val="20"/>
          <w:szCs w:val="20"/>
        </w:rPr>
        <w:t>conference</w:t>
      </w:r>
      <w:r w:rsidRPr="00750D3A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 The registration fee</w:t>
      </w:r>
      <w:r w:rsidR="003954EB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, travel expenses, and per diem are estimated below. </w:t>
      </w:r>
    </w:p>
    <w:p w14:paraId="56BF917F" w14:textId="2EF5F64B" w:rsidR="00A81119" w:rsidRDefault="0098522C" w:rsidP="00AC1BE2">
      <w:pPr>
        <w:pStyle w:val="NormalWeb"/>
        <w:rPr>
          <w:rStyle w:val="Strong"/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Registration</w:t>
      </w:r>
      <w:r w:rsidR="006A47E7" w:rsidRPr="009A3659">
        <w:rPr>
          <w:rFonts w:ascii="Arial" w:hAnsi="Arial" w:cs="Arial"/>
          <w:sz w:val="20"/>
          <w:szCs w:val="20"/>
        </w:rPr>
        <w:t xml:space="preserve"> Fee: </w:t>
      </w:r>
      <w:r w:rsidR="00986411">
        <w:rPr>
          <w:rStyle w:val="Strong"/>
          <w:rFonts w:ascii="Arial" w:hAnsi="Arial" w:cs="Arial"/>
          <w:sz w:val="20"/>
          <w:szCs w:val="20"/>
        </w:rPr>
        <w:t>&lt;</w:t>
      </w:r>
      <w:r w:rsidR="003954EB">
        <w:rPr>
          <w:rStyle w:val="Strong"/>
          <w:rFonts w:ascii="Arial" w:hAnsi="Arial" w:cs="Arial"/>
          <w:sz w:val="20"/>
          <w:szCs w:val="20"/>
        </w:rPr>
        <w:t>$</w:t>
      </w:r>
      <w:r w:rsidR="00251138">
        <w:rPr>
          <w:rStyle w:val="Strong"/>
          <w:rFonts w:ascii="Arial" w:hAnsi="Arial" w:cs="Arial"/>
          <w:sz w:val="20"/>
          <w:szCs w:val="20"/>
        </w:rPr>
        <w:t>XXX</w:t>
      </w:r>
      <w:r w:rsidR="00521323" w:rsidRPr="009A3659">
        <w:rPr>
          <w:rStyle w:val="Strong"/>
          <w:rFonts w:ascii="Arial" w:hAnsi="Arial" w:cs="Arial"/>
          <w:sz w:val="20"/>
          <w:szCs w:val="20"/>
        </w:rPr>
        <w:t>&gt; see</w:t>
      </w:r>
      <w:r w:rsidR="006A47E7" w:rsidRPr="009A3659">
        <w:rPr>
          <w:rStyle w:val="Strong"/>
          <w:rFonts w:ascii="Arial" w:hAnsi="Arial" w:cs="Arial"/>
          <w:sz w:val="20"/>
          <w:szCs w:val="20"/>
        </w:rPr>
        <w:t xml:space="preserve"> </w:t>
      </w:r>
      <w:proofErr w:type="gramStart"/>
      <w:r w:rsidR="006A47E7" w:rsidRPr="009A3659">
        <w:rPr>
          <w:rStyle w:val="Strong"/>
          <w:rFonts w:ascii="Arial" w:hAnsi="Arial" w:cs="Arial"/>
          <w:sz w:val="20"/>
          <w:szCs w:val="20"/>
        </w:rPr>
        <w:t>below</w:t>
      </w:r>
      <w:proofErr w:type="gramEnd"/>
      <w:r w:rsidR="00D90C6A">
        <w:rPr>
          <w:rStyle w:val="Strong"/>
          <w:rFonts w:ascii="Arial" w:hAnsi="Arial" w:cs="Arial"/>
          <w:sz w:val="20"/>
          <w:szCs w:val="20"/>
        </w:rPr>
        <w:t xml:space="preserve"> </w:t>
      </w:r>
    </w:p>
    <w:p w14:paraId="5FEC5BEA" w14:textId="2CF6789C" w:rsidR="00D90C6A" w:rsidRDefault="00D90C6A" w:rsidP="00AC1BE2">
      <w:pPr>
        <w:pStyle w:val="NormalWeb"/>
      </w:pPr>
    </w:p>
    <w:p w14:paraId="067DB897" w14:textId="201F2A03" w:rsidR="00750D3A" w:rsidRDefault="00750D3A" w:rsidP="00AC1BE2">
      <w:pPr>
        <w:pStyle w:val="NormalWeb"/>
      </w:pPr>
    </w:p>
    <w:p w14:paraId="669B6E8F" w14:textId="77777777" w:rsidR="00750D3A" w:rsidRDefault="00750D3A" w:rsidP="00AC1BE2">
      <w:pPr>
        <w:pStyle w:val="NormalWeb"/>
      </w:pPr>
    </w:p>
    <w:p w14:paraId="3D73ECA8" w14:textId="77777777" w:rsidR="00FF5D7E" w:rsidRDefault="00FF5D7E" w:rsidP="00FF5D7E">
      <w:pPr>
        <w:pStyle w:val="NormalWeb"/>
        <w:rPr>
          <w:rStyle w:val="Strong"/>
          <w:rFonts w:ascii="Arial" w:hAnsi="Arial" w:cs="Arial"/>
          <w:sz w:val="20"/>
          <w:szCs w:val="20"/>
        </w:rPr>
      </w:pPr>
    </w:p>
    <w:p w14:paraId="4ACDFD0C" w14:textId="29304FD8" w:rsidR="00FF5D7E" w:rsidRPr="001803F8" w:rsidRDefault="00FF5D7E" w:rsidP="00FF5D7E">
      <w:pPr>
        <w:pStyle w:val="NormalWeb"/>
        <w:rPr>
          <w:rStyle w:val="Strong"/>
          <w:rFonts w:ascii="Arial" w:hAnsi="Arial" w:cs="Arial"/>
          <w:sz w:val="20"/>
          <w:szCs w:val="20"/>
        </w:rPr>
      </w:pPr>
      <w:r w:rsidRPr="001803F8">
        <w:rPr>
          <w:rStyle w:val="Strong"/>
          <w:rFonts w:ascii="Arial" w:hAnsi="Arial" w:cs="Arial"/>
          <w:sz w:val="20"/>
          <w:szCs w:val="20"/>
        </w:rPr>
        <w:t>Registration Fees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4585"/>
        <w:gridCol w:w="2520"/>
        <w:gridCol w:w="2245"/>
      </w:tblGrid>
      <w:tr w:rsidR="00FF5D7E" w:rsidRPr="001803F8" w14:paraId="2EAF370B" w14:textId="77777777" w:rsidTr="00EB2EA4">
        <w:tc>
          <w:tcPr>
            <w:tcW w:w="4585" w:type="dxa"/>
            <w:shd w:val="clear" w:color="auto" w:fill="BFBFBF" w:themeFill="background1" w:themeFillShade="BF"/>
          </w:tcPr>
          <w:p w14:paraId="5B718036" w14:textId="7A22642F" w:rsidR="00FF5D7E" w:rsidRPr="001803F8" w:rsidRDefault="00FF5D7E" w:rsidP="00EB2EA4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1803F8">
              <w:rPr>
                <w:rFonts w:ascii="Arial" w:hAnsi="Arial" w:cs="Arial"/>
                <w:b/>
                <w:sz w:val="20"/>
                <w:szCs w:val="20"/>
              </w:rPr>
              <w:t xml:space="preserve">Early Bird Rates Through </w:t>
            </w:r>
            <w:r w:rsidR="00B83663">
              <w:rPr>
                <w:rFonts w:ascii="Arial" w:hAnsi="Arial" w:cs="Arial"/>
                <w:b/>
                <w:sz w:val="20"/>
                <w:szCs w:val="20"/>
              </w:rPr>
              <w:t>8/12</w:t>
            </w:r>
          </w:p>
        </w:tc>
        <w:tc>
          <w:tcPr>
            <w:tcW w:w="2520" w:type="dxa"/>
            <w:shd w:val="clear" w:color="auto" w:fill="BFBFBF" w:themeFill="background1" w:themeFillShade="BF"/>
          </w:tcPr>
          <w:p w14:paraId="2C508311" w14:textId="77777777" w:rsidR="00FF5D7E" w:rsidRPr="001803F8" w:rsidRDefault="00FF5D7E" w:rsidP="00EB2EA4">
            <w:pPr>
              <w:pStyle w:val="NormalWeb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803F8">
              <w:rPr>
                <w:rFonts w:ascii="Arial" w:hAnsi="Arial" w:cs="Arial"/>
                <w:b/>
                <w:sz w:val="20"/>
                <w:szCs w:val="20"/>
              </w:rPr>
              <w:t>Member</w:t>
            </w:r>
          </w:p>
        </w:tc>
        <w:tc>
          <w:tcPr>
            <w:tcW w:w="2245" w:type="dxa"/>
            <w:shd w:val="clear" w:color="auto" w:fill="BFBFBF" w:themeFill="background1" w:themeFillShade="BF"/>
          </w:tcPr>
          <w:p w14:paraId="27C0E8C9" w14:textId="77777777" w:rsidR="00FF5D7E" w:rsidRPr="001803F8" w:rsidRDefault="00FF5D7E" w:rsidP="00EB2EA4">
            <w:pPr>
              <w:pStyle w:val="NormalWeb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803F8">
              <w:rPr>
                <w:rFonts w:ascii="Arial" w:hAnsi="Arial" w:cs="Arial"/>
                <w:b/>
                <w:sz w:val="20"/>
                <w:szCs w:val="20"/>
              </w:rPr>
              <w:t>Nonmember</w:t>
            </w:r>
          </w:p>
        </w:tc>
      </w:tr>
      <w:tr w:rsidR="00FF5D7E" w:rsidRPr="001803F8" w14:paraId="05B290F9" w14:textId="77777777" w:rsidTr="00EB2EA4">
        <w:tc>
          <w:tcPr>
            <w:tcW w:w="4585" w:type="dxa"/>
          </w:tcPr>
          <w:p w14:paraId="12DF7A8A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Academic/Charitable/Non-Profit (Full Time)</w:t>
            </w:r>
          </w:p>
        </w:tc>
        <w:tc>
          <w:tcPr>
            <w:tcW w:w="2520" w:type="dxa"/>
          </w:tcPr>
          <w:p w14:paraId="226CB5EF" w14:textId="3FA21238" w:rsidR="00FF5D7E" w:rsidRPr="007D14BF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 w:rsidR="00B83663">
              <w:rPr>
                <w:rFonts w:ascii="Arial" w:hAnsi="Arial" w:cs="Arial"/>
                <w:sz w:val="20"/>
                <w:szCs w:val="20"/>
              </w:rPr>
              <w:t>575</w:t>
            </w:r>
          </w:p>
        </w:tc>
        <w:tc>
          <w:tcPr>
            <w:tcW w:w="2245" w:type="dxa"/>
          </w:tcPr>
          <w:p w14:paraId="3F8C5556" w14:textId="169B3FDC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B83663">
              <w:rPr>
                <w:rFonts w:ascii="Arial" w:hAnsi="Arial" w:cs="Arial"/>
                <w:sz w:val="20"/>
                <w:szCs w:val="20"/>
              </w:rPr>
              <w:t>825</w:t>
            </w:r>
          </w:p>
        </w:tc>
      </w:tr>
      <w:tr w:rsidR="00FF5D7E" w:rsidRPr="001803F8" w14:paraId="61EE9744" w14:textId="77777777" w:rsidTr="00EB2EA4">
        <w:tc>
          <w:tcPr>
            <w:tcW w:w="4585" w:type="dxa"/>
          </w:tcPr>
          <w:p w14:paraId="2E7053EF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Government (Full Time)</w:t>
            </w:r>
          </w:p>
        </w:tc>
        <w:tc>
          <w:tcPr>
            <w:tcW w:w="2520" w:type="dxa"/>
          </w:tcPr>
          <w:p w14:paraId="2650C97F" w14:textId="0F35648B" w:rsidR="00FF5D7E" w:rsidRPr="007D14BF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B83663">
              <w:rPr>
                <w:rFonts w:ascii="Arial" w:hAnsi="Arial" w:cs="Arial"/>
                <w:sz w:val="20"/>
                <w:szCs w:val="20"/>
              </w:rPr>
              <w:t>425</w:t>
            </w:r>
          </w:p>
        </w:tc>
        <w:tc>
          <w:tcPr>
            <w:tcW w:w="2245" w:type="dxa"/>
          </w:tcPr>
          <w:p w14:paraId="044EE688" w14:textId="7FF0DDB1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 w:rsidR="00B83663">
              <w:rPr>
                <w:rFonts w:ascii="Arial" w:hAnsi="Arial" w:cs="Arial"/>
                <w:sz w:val="20"/>
                <w:szCs w:val="20"/>
              </w:rPr>
              <w:t>675</w:t>
            </w:r>
          </w:p>
        </w:tc>
      </w:tr>
      <w:tr w:rsidR="00FF5D7E" w:rsidRPr="001803F8" w14:paraId="118DD104" w14:textId="77777777" w:rsidTr="00EB2EA4">
        <w:tc>
          <w:tcPr>
            <w:tcW w:w="4585" w:type="dxa"/>
          </w:tcPr>
          <w:p w14:paraId="192DFDD2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Industry</w:t>
            </w:r>
          </w:p>
        </w:tc>
        <w:tc>
          <w:tcPr>
            <w:tcW w:w="2520" w:type="dxa"/>
          </w:tcPr>
          <w:p w14:paraId="146F2D45" w14:textId="4F970009" w:rsidR="00FF5D7E" w:rsidRPr="007D14BF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B83663">
              <w:rPr>
                <w:rFonts w:ascii="Arial" w:hAnsi="Arial" w:cs="Arial"/>
                <w:sz w:val="20"/>
                <w:szCs w:val="20"/>
              </w:rPr>
              <w:t>1275</w:t>
            </w:r>
          </w:p>
        </w:tc>
        <w:tc>
          <w:tcPr>
            <w:tcW w:w="2245" w:type="dxa"/>
          </w:tcPr>
          <w:p w14:paraId="08286A97" w14:textId="672E8059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 w:rsidR="00B83663">
              <w:rPr>
                <w:rFonts w:ascii="Arial" w:hAnsi="Arial" w:cs="Arial"/>
                <w:sz w:val="20"/>
                <w:szCs w:val="20"/>
              </w:rPr>
              <w:t>1525</w:t>
            </w:r>
          </w:p>
        </w:tc>
      </w:tr>
      <w:tr w:rsidR="00FF5D7E" w:rsidRPr="001803F8" w14:paraId="52523860" w14:textId="77777777" w:rsidTr="00EB2EA4">
        <w:tc>
          <w:tcPr>
            <w:tcW w:w="9350" w:type="dxa"/>
            <w:gridSpan w:val="3"/>
            <w:shd w:val="clear" w:color="auto" w:fill="BFBFBF" w:themeFill="background1" w:themeFillShade="BF"/>
          </w:tcPr>
          <w:p w14:paraId="089835BD" w14:textId="5B8E10CC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b/>
                <w:sz w:val="20"/>
                <w:szCs w:val="20"/>
              </w:rPr>
              <w:t xml:space="preserve">Advance Rates Through </w:t>
            </w:r>
            <w:r w:rsidR="00B83663">
              <w:rPr>
                <w:rFonts w:ascii="Arial" w:hAnsi="Arial" w:cs="Arial"/>
                <w:b/>
                <w:sz w:val="20"/>
                <w:szCs w:val="20"/>
              </w:rPr>
              <w:t>9/09</w:t>
            </w:r>
          </w:p>
        </w:tc>
      </w:tr>
      <w:tr w:rsidR="00FF5D7E" w:rsidRPr="001803F8" w14:paraId="1439BB95" w14:textId="77777777" w:rsidTr="00EB2EA4">
        <w:tc>
          <w:tcPr>
            <w:tcW w:w="4585" w:type="dxa"/>
          </w:tcPr>
          <w:p w14:paraId="374994DD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Academic/Charitable/Non-Profit (Full Time)</w:t>
            </w:r>
          </w:p>
        </w:tc>
        <w:tc>
          <w:tcPr>
            <w:tcW w:w="2520" w:type="dxa"/>
          </w:tcPr>
          <w:p w14:paraId="1CE0C1E5" w14:textId="32F5DAF7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$</w:t>
            </w:r>
            <w:r w:rsidR="00B83663">
              <w:rPr>
                <w:rFonts w:ascii="Arial" w:hAnsi="Arial" w:cs="Arial"/>
                <w:sz w:val="20"/>
                <w:szCs w:val="20"/>
              </w:rPr>
              <w:t>650</w:t>
            </w:r>
          </w:p>
        </w:tc>
        <w:tc>
          <w:tcPr>
            <w:tcW w:w="2245" w:type="dxa"/>
          </w:tcPr>
          <w:p w14:paraId="757B3F56" w14:textId="3FBC0E31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B83663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</w:tr>
      <w:tr w:rsidR="00FF5D7E" w:rsidRPr="001803F8" w14:paraId="5F15D3AB" w14:textId="77777777" w:rsidTr="00EB2EA4">
        <w:tc>
          <w:tcPr>
            <w:tcW w:w="4585" w:type="dxa"/>
          </w:tcPr>
          <w:p w14:paraId="05DE07FE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Government (Full Time)</w:t>
            </w:r>
          </w:p>
        </w:tc>
        <w:tc>
          <w:tcPr>
            <w:tcW w:w="2520" w:type="dxa"/>
          </w:tcPr>
          <w:p w14:paraId="31E54BFA" w14:textId="2BFCFC38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B83663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2245" w:type="dxa"/>
          </w:tcPr>
          <w:p w14:paraId="44A09235" w14:textId="3DB5C9F4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 w:rsidR="00B83663">
              <w:rPr>
                <w:rFonts w:ascii="Arial" w:hAnsi="Arial" w:cs="Arial"/>
                <w:sz w:val="20"/>
                <w:szCs w:val="20"/>
              </w:rPr>
              <w:t>750</w:t>
            </w:r>
          </w:p>
        </w:tc>
      </w:tr>
      <w:tr w:rsidR="00FF5D7E" w:rsidRPr="001803F8" w14:paraId="7AF3F347" w14:textId="77777777" w:rsidTr="00EB2EA4">
        <w:tc>
          <w:tcPr>
            <w:tcW w:w="4585" w:type="dxa"/>
          </w:tcPr>
          <w:p w14:paraId="63662DD9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Industry</w:t>
            </w:r>
          </w:p>
        </w:tc>
        <w:tc>
          <w:tcPr>
            <w:tcW w:w="2520" w:type="dxa"/>
          </w:tcPr>
          <w:p w14:paraId="61F9B8CB" w14:textId="4D00A84D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B83663">
              <w:rPr>
                <w:rFonts w:ascii="Arial" w:hAnsi="Arial" w:cs="Arial"/>
                <w:sz w:val="20"/>
                <w:szCs w:val="20"/>
              </w:rPr>
              <w:t>1350</w:t>
            </w:r>
          </w:p>
        </w:tc>
        <w:tc>
          <w:tcPr>
            <w:tcW w:w="2245" w:type="dxa"/>
          </w:tcPr>
          <w:p w14:paraId="44333137" w14:textId="5A1366D5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 w:rsidR="00B83663">
              <w:rPr>
                <w:rFonts w:ascii="Arial" w:hAnsi="Arial" w:cs="Arial"/>
                <w:sz w:val="20"/>
                <w:szCs w:val="20"/>
              </w:rPr>
              <w:t>1600</w:t>
            </w:r>
          </w:p>
        </w:tc>
      </w:tr>
      <w:tr w:rsidR="00FF5D7E" w:rsidRPr="001803F8" w14:paraId="650614BA" w14:textId="77777777" w:rsidTr="00EB2EA4">
        <w:tc>
          <w:tcPr>
            <w:tcW w:w="9350" w:type="dxa"/>
            <w:gridSpan w:val="3"/>
            <w:shd w:val="clear" w:color="auto" w:fill="BFBFBF" w:themeFill="background1" w:themeFillShade="BF"/>
          </w:tcPr>
          <w:p w14:paraId="7BC8E4FF" w14:textId="4B69D9F2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b/>
                <w:sz w:val="20"/>
                <w:szCs w:val="20"/>
              </w:rPr>
              <w:t xml:space="preserve">Standard Rates Beginning </w:t>
            </w:r>
            <w:r w:rsidR="00B83663">
              <w:rPr>
                <w:rFonts w:ascii="Arial" w:hAnsi="Arial" w:cs="Arial"/>
                <w:b/>
                <w:sz w:val="20"/>
                <w:szCs w:val="20"/>
              </w:rPr>
              <w:t>9/10</w:t>
            </w:r>
          </w:p>
        </w:tc>
      </w:tr>
      <w:tr w:rsidR="00FF5D7E" w:rsidRPr="001803F8" w14:paraId="653B0622" w14:textId="77777777" w:rsidTr="00EB2EA4">
        <w:tc>
          <w:tcPr>
            <w:tcW w:w="4585" w:type="dxa"/>
          </w:tcPr>
          <w:p w14:paraId="35561AC8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Academic/Charitable/Non-Profit (Full Time)</w:t>
            </w:r>
          </w:p>
        </w:tc>
        <w:tc>
          <w:tcPr>
            <w:tcW w:w="2520" w:type="dxa"/>
          </w:tcPr>
          <w:p w14:paraId="434E441F" w14:textId="299C1917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B83663">
              <w:rPr>
                <w:rFonts w:ascii="Arial" w:hAnsi="Arial" w:cs="Arial"/>
                <w:sz w:val="20"/>
                <w:szCs w:val="20"/>
              </w:rPr>
              <w:t>725</w:t>
            </w:r>
          </w:p>
        </w:tc>
        <w:tc>
          <w:tcPr>
            <w:tcW w:w="2245" w:type="dxa"/>
          </w:tcPr>
          <w:p w14:paraId="2C982E75" w14:textId="75955942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B83663">
              <w:rPr>
                <w:rFonts w:ascii="Arial" w:hAnsi="Arial" w:cs="Arial"/>
                <w:sz w:val="20"/>
                <w:szCs w:val="20"/>
              </w:rPr>
              <w:t>975</w:t>
            </w:r>
          </w:p>
        </w:tc>
      </w:tr>
      <w:tr w:rsidR="00FF5D7E" w:rsidRPr="001803F8" w14:paraId="38B227E0" w14:textId="77777777" w:rsidTr="00EB2EA4">
        <w:tc>
          <w:tcPr>
            <w:tcW w:w="4585" w:type="dxa"/>
          </w:tcPr>
          <w:p w14:paraId="24673912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Government (Full Time)</w:t>
            </w:r>
          </w:p>
        </w:tc>
        <w:tc>
          <w:tcPr>
            <w:tcW w:w="2520" w:type="dxa"/>
          </w:tcPr>
          <w:p w14:paraId="27051E8A" w14:textId="0B4F5931" w:rsidR="00FF5D7E" w:rsidRPr="007D14BF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 w:rsidR="00B83663">
              <w:rPr>
                <w:rFonts w:ascii="Arial" w:hAnsi="Arial" w:cs="Arial"/>
                <w:sz w:val="20"/>
                <w:szCs w:val="20"/>
              </w:rPr>
              <w:t>575</w:t>
            </w:r>
          </w:p>
        </w:tc>
        <w:tc>
          <w:tcPr>
            <w:tcW w:w="2245" w:type="dxa"/>
          </w:tcPr>
          <w:p w14:paraId="0A71540D" w14:textId="5D48F7AF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 w:rsidR="00B83663">
              <w:rPr>
                <w:rFonts w:ascii="Arial" w:hAnsi="Arial" w:cs="Arial"/>
                <w:sz w:val="20"/>
                <w:szCs w:val="20"/>
              </w:rPr>
              <w:t>825</w:t>
            </w:r>
          </w:p>
        </w:tc>
      </w:tr>
      <w:tr w:rsidR="00FF5D7E" w:rsidRPr="001803F8" w14:paraId="732932E5" w14:textId="77777777" w:rsidTr="00EB2EA4">
        <w:tc>
          <w:tcPr>
            <w:tcW w:w="4585" w:type="dxa"/>
          </w:tcPr>
          <w:p w14:paraId="25B09C36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Industry</w:t>
            </w:r>
          </w:p>
        </w:tc>
        <w:tc>
          <w:tcPr>
            <w:tcW w:w="2520" w:type="dxa"/>
          </w:tcPr>
          <w:p w14:paraId="0365834F" w14:textId="1B9D42E8" w:rsidR="00FF5D7E" w:rsidRPr="007D14BF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 w:rsidR="00B83663">
              <w:rPr>
                <w:rFonts w:ascii="Arial" w:hAnsi="Arial" w:cs="Arial"/>
                <w:sz w:val="20"/>
                <w:szCs w:val="20"/>
              </w:rPr>
              <w:t>1425</w:t>
            </w:r>
          </w:p>
        </w:tc>
        <w:tc>
          <w:tcPr>
            <w:tcW w:w="2245" w:type="dxa"/>
          </w:tcPr>
          <w:p w14:paraId="686B304F" w14:textId="2C83E2EE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 w:rsidR="00B83663">
              <w:rPr>
                <w:rFonts w:ascii="Arial" w:hAnsi="Arial" w:cs="Arial"/>
                <w:sz w:val="20"/>
                <w:szCs w:val="20"/>
              </w:rPr>
              <w:t>1675</w:t>
            </w:r>
          </w:p>
        </w:tc>
      </w:tr>
    </w:tbl>
    <w:p w14:paraId="0E926020" w14:textId="77777777" w:rsidR="00FF5D7E" w:rsidRPr="007D14BF" w:rsidRDefault="00FF5D7E" w:rsidP="00FF5D7E">
      <w:pPr>
        <w:pStyle w:val="NormalWeb"/>
        <w:rPr>
          <w:rFonts w:ascii="Arial" w:hAnsi="Arial" w:cs="Arial"/>
          <w:sz w:val="20"/>
          <w:szCs w:val="20"/>
        </w:rPr>
      </w:pPr>
      <w:r w:rsidRPr="007D14BF">
        <w:rPr>
          <w:rFonts w:ascii="Arial" w:hAnsi="Arial" w:cs="Arial"/>
          <w:sz w:val="20"/>
          <w:szCs w:val="20"/>
        </w:rPr>
        <w:t>Student Rate: $400</w:t>
      </w:r>
      <w:r w:rsidRPr="007D14BF">
        <w:rPr>
          <w:rFonts w:ascii="Arial" w:hAnsi="Arial" w:cs="Arial"/>
          <w:sz w:val="20"/>
          <w:szCs w:val="20"/>
        </w:rPr>
        <w:br/>
        <w:t>Patient/Patient Advocate Rate: $400</w:t>
      </w:r>
    </w:p>
    <w:p w14:paraId="0FE7CDC7" w14:textId="77777777" w:rsidR="00FF5D7E" w:rsidRDefault="00FF5D7E" w:rsidP="00AC1BE2">
      <w:pPr>
        <w:pStyle w:val="NormalWeb"/>
      </w:pPr>
    </w:p>
    <w:p w14:paraId="56BF9197" w14:textId="2882CE76" w:rsidR="006A47E7" w:rsidRDefault="006A47E7" w:rsidP="006A47E7">
      <w:pPr>
        <w:pStyle w:val="NormalWeb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Thank you for taking the time to review this proposal. By attending the</w:t>
      </w:r>
      <w:r w:rsidR="00492321">
        <w:rPr>
          <w:rFonts w:ascii="Arial" w:hAnsi="Arial" w:cs="Arial"/>
          <w:sz w:val="20"/>
          <w:szCs w:val="20"/>
        </w:rPr>
        <w:t xml:space="preserve"> </w:t>
      </w:r>
      <w:r w:rsidR="00750D3A" w:rsidRPr="00750D3A">
        <w:rPr>
          <w:rFonts w:ascii="Arial" w:hAnsi="Arial" w:cs="Arial"/>
          <w:i/>
          <w:sz w:val="20"/>
          <w:szCs w:val="20"/>
          <w:lang w:val="en"/>
        </w:rPr>
        <w:t>Master Protocols and Complex Innovative Design</w:t>
      </w:r>
      <w:r w:rsidR="00492321">
        <w:rPr>
          <w:rFonts w:ascii="Arial" w:hAnsi="Arial" w:cs="Arial"/>
          <w:sz w:val="20"/>
          <w:szCs w:val="20"/>
        </w:rPr>
        <w:t>,</w:t>
      </w:r>
      <w:r w:rsidR="00A078C7">
        <w:rPr>
          <w:rFonts w:ascii="Arial" w:hAnsi="Arial" w:cs="Arial"/>
          <w:sz w:val="20"/>
          <w:szCs w:val="20"/>
        </w:rPr>
        <w:t xml:space="preserve"> </w:t>
      </w:r>
      <w:r w:rsidR="00C04839">
        <w:rPr>
          <w:rFonts w:ascii="Arial" w:hAnsi="Arial" w:cs="Arial"/>
          <w:sz w:val="20"/>
          <w:szCs w:val="20"/>
        </w:rPr>
        <w:t xml:space="preserve">having </w:t>
      </w:r>
      <w:r>
        <w:rPr>
          <w:rFonts w:ascii="Arial" w:hAnsi="Arial" w:cs="Arial"/>
          <w:sz w:val="20"/>
          <w:szCs w:val="20"/>
        </w:rPr>
        <w:t>the opportunity to develop my skills, gain knowledge</w:t>
      </w:r>
      <w:r w:rsidR="00D032F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and establish key contacts will be a valuable investment for my profession, colleagues</w:t>
      </w:r>
      <w:r w:rsidR="00D032F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and </w:t>
      </w:r>
      <w:r w:rsidRPr="00CB45F5">
        <w:rPr>
          <w:rFonts w:ascii="Arial" w:hAnsi="Arial" w:cs="Arial"/>
          <w:b/>
          <w:sz w:val="20"/>
          <w:szCs w:val="20"/>
        </w:rPr>
        <w:t>&lt;insert name of your organization here&gt;</w:t>
      </w:r>
      <w:r w:rsidR="00C04839">
        <w:rPr>
          <w:rFonts w:ascii="Arial" w:hAnsi="Arial" w:cs="Arial"/>
          <w:b/>
          <w:sz w:val="20"/>
          <w:szCs w:val="20"/>
        </w:rPr>
        <w:t>.</w:t>
      </w:r>
    </w:p>
    <w:p w14:paraId="56BF9199" w14:textId="2EF9462F" w:rsidR="006A47E7" w:rsidRPr="00D67BA0" w:rsidRDefault="006A47E7" w:rsidP="006A47E7">
      <w:pPr>
        <w:pStyle w:val="NormalWeb"/>
        <w:rPr>
          <w:rFonts w:ascii="Arial" w:hAnsi="Arial" w:cs="Arial"/>
          <w:sz w:val="20"/>
          <w:szCs w:val="20"/>
        </w:rPr>
      </w:pPr>
      <w:r w:rsidRPr="00957B88">
        <w:rPr>
          <w:rFonts w:ascii="Arial" w:hAnsi="Arial" w:cs="Arial"/>
          <w:sz w:val="20"/>
          <w:szCs w:val="20"/>
        </w:rPr>
        <w:t>Sincerely,</w:t>
      </w:r>
    </w:p>
    <w:p w14:paraId="56BF919C" w14:textId="77777777" w:rsidR="00E82163" w:rsidRDefault="00E82163"/>
    <w:sectPr w:rsidR="00E82163" w:rsidSect="006A47E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36DB"/>
    <w:multiLevelType w:val="hybridMultilevel"/>
    <w:tmpl w:val="B5B20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7E7"/>
    <w:rsid w:val="0000116F"/>
    <w:rsid w:val="00006852"/>
    <w:rsid w:val="00051313"/>
    <w:rsid w:val="000515A4"/>
    <w:rsid w:val="00093FC2"/>
    <w:rsid w:val="000C24B1"/>
    <w:rsid w:val="000D3AF6"/>
    <w:rsid w:val="001609F4"/>
    <w:rsid w:val="00162B6F"/>
    <w:rsid w:val="001672D1"/>
    <w:rsid w:val="00172A1B"/>
    <w:rsid w:val="00195372"/>
    <w:rsid w:val="001A72F9"/>
    <w:rsid w:val="001B16E4"/>
    <w:rsid w:val="001F2907"/>
    <w:rsid w:val="001F50C7"/>
    <w:rsid w:val="00211653"/>
    <w:rsid w:val="00224A4F"/>
    <w:rsid w:val="00233557"/>
    <w:rsid w:val="00251138"/>
    <w:rsid w:val="002766C1"/>
    <w:rsid w:val="002A4249"/>
    <w:rsid w:val="002B17E4"/>
    <w:rsid w:val="002D7BDC"/>
    <w:rsid w:val="0031036E"/>
    <w:rsid w:val="00316C84"/>
    <w:rsid w:val="0032231E"/>
    <w:rsid w:val="003445E9"/>
    <w:rsid w:val="003514BA"/>
    <w:rsid w:val="003602D3"/>
    <w:rsid w:val="00380A70"/>
    <w:rsid w:val="003954EB"/>
    <w:rsid w:val="003A3AC4"/>
    <w:rsid w:val="003C3846"/>
    <w:rsid w:val="003E7285"/>
    <w:rsid w:val="003E7636"/>
    <w:rsid w:val="003F47E8"/>
    <w:rsid w:val="0044090D"/>
    <w:rsid w:val="004478D5"/>
    <w:rsid w:val="00492321"/>
    <w:rsid w:val="004D238C"/>
    <w:rsid w:val="004E48C8"/>
    <w:rsid w:val="004E5015"/>
    <w:rsid w:val="004F162F"/>
    <w:rsid w:val="004F75F4"/>
    <w:rsid w:val="00502006"/>
    <w:rsid w:val="005058FF"/>
    <w:rsid w:val="00511FA2"/>
    <w:rsid w:val="00521323"/>
    <w:rsid w:val="00524D1F"/>
    <w:rsid w:val="005267D5"/>
    <w:rsid w:val="00545A03"/>
    <w:rsid w:val="00550FE4"/>
    <w:rsid w:val="00595F27"/>
    <w:rsid w:val="005B4148"/>
    <w:rsid w:val="005B7A8E"/>
    <w:rsid w:val="005D7BF9"/>
    <w:rsid w:val="005E59BC"/>
    <w:rsid w:val="00610D8F"/>
    <w:rsid w:val="00610FB2"/>
    <w:rsid w:val="006127BB"/>
    <w:rsid w:val="00621C44"/>
    <w:rsid w:val="006421C8"/>
    <w:rsid w:val="00685A7D"/>
    <w:rsid w:val="00692E85"/>
    <w:rsid w:val="006A47E7"/>
    <w:rsid w:val="006B0234"/>
    <w:rsid w:val="006B6396"/>
    <w:rsid w:val="006C40AB"/>
    <w:rsid w:val="006D368C"/>
    <w:rsid w:val="00710B14"/>
    <w:rsid w:val="007205EF"/>
    <w:rsid w:val="00721C10"/>
    <w:rsid w:val="0073566B"/>
    <w:rsid w:val="0074639E"/>
    <w:rsid w:val="00750D3A"/>
    <w:rsid w:val="00752FA5"/>
    <w:rsid w:val="0075647C"/>
    <w:rsid w:val="007A01AF"/>
    <w:rsid w:val="007B3CCC"/>
    <w:rsid w:val="007D5848"/>
    <w:rsid w:val="007F1DA4"/>
    <w:rsid w:val="00856CB2"/>
    <w:rsid w:val="008A4E50"/>
    <w:rsid w:val="00905A28"/>
    <w:rsid w:val="00913DCB"/>
    <w:rsid w:val="00916B3C"/>
    <w:rsid w:val="009333ED"/>
    <w:rsid w:val="00957458"/>
    <w:rsid w:val="00957B88"/>
    <w:rsid w:val="00980F7A"/>
    <w:rsid w:val="0098207F"/>
    <w:rsid w:val="0098522C"/>
    <w:rsid w:val="00986411"/>
    <w:rsid w:val="00986503"/>
    <w:rsid w:val="00997A65"/>
    <w:rsid w:val="009A3659"/>
    <w:rsid w:val="009B201F"/>
    <w:rsid w:val="009E1BFB"/>
    <w:rsid w:val="009F1795"/>
    <w:rsid w:val="009F5AEB"/>
    <w:rsid w:val="009F7C82"/>
    <w:rsid w:val="009F7FF2"/>
    <w:rsid w:val="00A04E1B"/>
    <w:rsid w:val="00A078C7"/>
    <w:rsid w:val="00A2476D"/>
    <w:rsid w:val="00A30326"/>
    <w:rsid w:val="00A309AA"/>
    <w:rsid w:val="00A30C18"/>
    <w:rsid w:val="00A568BC"/>
    <w:rsid w:val="00A81119"/>
    <w:rsid w:val="00A82243"/>
    <w:rsid w:val="00A945EF"/>
    <w:rsid w:val="00AB5B14"/>
    <w:rsid w:val="00AB6159"/>
    <w:rsid w:val="00AB674F"/>
    <w:rsid w:val="00AC1BE2"/>
    <w:rsid w:val="00AD6E65"/>
    <w:rsid w:val="00AD777C"/>
    <w:rsid w:val="00AF5A23"/>
    <w:rsid w:val="00B02F6E"/>
    <w:rsid w:val="00B13878"/>
    <w:rsid w:val="00B209FD"/>
    <w:rsid w:val="00B60103"/>
    <w:rsid w:val="00B635B6"/>
    <w:rsid w:val="00B7211C"/>
    <w:rsid w:val="00B83663"/>
    <w:rsid w:val="00BA103D"/>
    <w:rsid w:val="00BA10E7"/>
    <w:rsid w:val="00BB64F3"/>
    <w:rsid w:val="00BE446E"/>
    <w:rsid w:val="00C04839"/>
    <w:rsid w:val="00C267EF"/>
    <w:rsid w:val="00C63CFD"/>
    <w:rsid w:val="00CA3D34"/>
    <w:rsid w:val="00CB1403"/>
    <w:rsid w:val="00D032F0"/>
    <w:rsid w:val="00D3068B"/>
    <w:rsid w:val="00D41F0A"/>
    <w:rsid w:val="00D43F23"/>
    <w:rsid w:val="00D54A7D"/>
    <w:rsid w:val="00D55C74"/>
    <w:rsid w:val="00D8090C"/>
    <w:rsid w:val="00D90C6A"/>
    <w:rsid w:val="00DA53C2"/>
    <w:rsid w:val="00DB598E"/>
    <w:rsid w:val="00DC5654"/>
    <w:rsid w:val="00DC7FC4"/>
    <w:rsid w:val="00DD39EF"/>
    <w:rsid w:val="00E10D92"/>
    <w:rsid w:val="00E636D8"/>
    <w:rsid w:val="00E76FDE"/>
    <w:rsid w:val="00E82163"/>
    <w:rsid w:val="00EC25C1"/>
    <w:rsid w:val="00ED109A"/>
    <w:rsid w:val="00ED1ACB"/>
    <w:rsid w:val="00ED3454"/>
    <w:rsid w:val="00ED4D94"/>
    <w:rsid w:val="00F15CFA"/>
    <w:rsid w:val="00F41E70"/>
    <w:rsid w:val="00F86EF1"/>
    <w:rsid w:val="00FB36BE"/>
    <w:rsid w:val="00FF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F915F"/>
  <w15:docId w15:val="{D446F8DD-B668-48DF-A369-E80CCE261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7E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47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A47E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A47E7"/>
    <w:rPr>
      <w:b/>
      <w:bCs/>
    </w:rPr>
  </w:style>
  <w:style w:type="character" w:styleId="Hyperlink">
    <w:name w:val="Hyperlink"/>
    <w:basedOn w:val="DefaultParagraphFont"/>
    <w:uiPriority w:val="99"/>
    <w:unhideWhenUsed/>
    <w:rsid w:val="006A47E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C5654"/>
    <w:rPr>
      <w:color w:val="800080"/>
      <w:u w:val="single"/>
    </w:rPr>
  </w:style>
  <w:style w:type="character" w:customStyle="1" w:styleId="apple-style-span">
    <w:name w:val="apple-style-span"/>
    <w:basedOn w:val="DefaultParagraphFont"/>
    <w:rsid w:val="00685A7D"/>
  </w:style>
  <w:style w:type="paragraph" w:styleId="BalloonText">
    <w:name w:val="Balloon Text"/>
    <w:basedOn w:val="Normal"/>
    <w:link w:val="BalloonTextChar"/>
    <w:uiPriority w:val="99"/>
    <w:semiHidden/>
    <w:unhideWhenUsed/>
    <w:rsid w:val="00642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1C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078C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923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23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232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3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2321"/>
    <w:rPr>
      <w:b/>
      <w:bCs/>
    </w:rPr>
  </w:style>
  <w:style w:type="table" w:styleId="TableGrid">
    <w:name w:val="Table Grid"/>
    <w:basedOn w:val="TableNormal"/>
    <w:uiPriority w:val="59"/>
    <w:rsid w:val="00FF5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4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6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2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84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4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3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80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0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7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6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54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Year xmlns="d9d0f46b-f6a6-4db7-a277-b2edc3298236">30</Year>
    <Doc_x0020_Status xmlns="d9d0f46b-f6a6-4db7-a277-b2edc3298236">1</Doc_x0020_Status>
    <Retention_x0020_Schedule xmlns="d9d0f46b-f6a6-4db7-a277-b2edc3298236">9</Retention_x0020_Schedule>
    <Content_x0020_Region xmlns="d9d0f46b-f6a6-4db7-a277-b2edc3298236">6</Content_x0020_Region>
    <Responsible_x0020_Office xmlns="d9d0f46b-f6a6-4db7-a277-b2edc3298236">3</Responsible_x0020_Offic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IA Document" ma:contentTypeID="0x0101007EDFF2051E4E304A84E61DD9B9CEA93D003CDCEE7519186C478F6D897AFD8C7AD3" ma:contentTypeVersion="3" ma:contentTypeDescription="Create a new document." ma:contentTypeScope="" ma:versionID="0d9c07efb4a2c17b3eb6deb3163e2ec0">
  <xsd:schema xmlns:xsd="http://www.w3.org/2001/XMLSchema" xmlns:p="http://schemas.microsoft.com/office/2006/metadata/properties" xmlns:ns2="d9d0f46b-f6a6-4db7-a277-b2edc3298236" targetNamespace="http://schemas.microsoft.com/office/2006/metadata/properties" ma:root="true" ma:fieldsID="7818578f49f123a8b5ef852e6b34b0fa" ns2:_="">
    <xsd:import namespace="d9d0f46b-f6a6-4db7-a277-b2edc3298236"/>
    <xsd:element name="properties">
      <xsd:complexType>
        <xsd:sequence>
          <xsd:element name="documentManagement">
            <xsd:complexType>
              <xsd:all>
                <xsd:element ref="ns2:Year"/>
                <xsd:element ref="ns2:Content_x0020_Region"/>
                <xsd:element ref="ns2:Retention_x0020_Schedule"/>
                <xsd:element ref="ns2:Responsible_x0020_Office"/>
                <xsd:element ref="ns2:Doc_x0020_Statu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d9d0f46b-f6a6-4db7-a277-b2edc3298236" elementFormDefault="qualified">
    <xsd:import namespace="http://schemas.microsoft.com/office/2006/documentManagement/types"/>
    <xsd:element name="Year" ma:index="8" ma:displayName="Year" ma:list="{090302be-5fa6-4807-8954-04f8be0b0748}" ma:internalName="Year" ma:showField="Title" ma:web="d9d0f46b-f6a6-4db7-a277-b2edc3298236">
      <xsd:simpleType>
        <xsd:restriction base="dms:Lookup"/>
      </xsd:simpleType>
    </xsd:element>
    <xsd:element name="Content_x0020_Region" ma:index="9" ma:displayName="Content Region" ma:list="{6f98ea51-7189-4b6a-a911-ad4d34d5dcf8}" ma:internalName="Content_x0020_Region" ma:showField="Title" ma:web="d9d0f46b-f6a6-4db7-a277-b2edc3298236">
      <xsd:simpleType>
        <xsd:restriction base="dms:Lookup"/>
      </xsd:simpleType>
    </xsd:element>
    <xsd:element name="Retention_x0020_Schedule" ma:index="10" ma:displayName="Retention Schedule" ma:list="{88ff0776-613d-4cb1-be01-79219c896d29}" ma:internalName="Retention_x0020_Schedule" ma:showField="Title" ma:web="d9d0f46b-f6a6-4db7-a277-b2edc3298236">
      <xsd:simpleType>
        <xsd:restriction base="dms:Lookup"/>
      </xsd:simpleType>
    </xsd:element>
    <xsd:element name="Responsible_x0020_Office" ma:index="11" ma:displayName="Responsible Office" ma:list="{f4bb6a4e-f6fb-4236-8cef-05f09eb91670}" ma:internalName="Responsible_x0020_Office" ma:showField="Title" ma:web="d9d0f46b-f6a6-4db7-a277-b2edc3298236">
      <xsd:simpleType>
        <xsd:restriction base="dms:Lookup"/>
      </xsd:simpleType>
    </xsd:element>
    <xsd:element name="Doc_x0020_Status" ma:index="12" ma:displayName="Doc Status" ma:list="{9c958115-5b88-40e9-a53f-abb8ad925efc}" ma:internalName="Doc_x0020_Status" ma:readOnly="false" ma:showField="Title" ma:web="d9d0f46b-f6a6-4db7-a277-b2edc3298236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7CF87260-E72A-4326-9444-CA593A8D04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EC0B3B-FF76-432D-81EE-39321D6676E1}">
  <ds:schemaRefs>
    <ds:schemaRef ds:uri="http://schemas.microsoft.com/office/2006/metadata/properties"/>
    <ds:schemaRef ds:uri="d9d0f46b-f6a6-4db7-a277-b2edc3298236"/>
  </ds:schemaRefs>
</ds:datastoreItem>
</file>

<file path=customXml/itemProps3.xml><?xml version="1.0" encoding="utf-8"?>
<ds:datastoreItem xmlns:ds="http://schemas.openxmlformats.org/officeDocument/2006/customXml" ds:itemID="{07CE0966-7D03-4EF9-8B21-7FEFEB6381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0E22CD-9D87-435C-9CC6-546027C6D2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d0f46b-f6a6-4db7-a277-b2edc329823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Links>
    <vt:vector size="12" baseType="variant">
      <vt:variant>
        <vt:i4>3932287</vt:i4>
      </vt:variant>
      <vt:variant>
        <vt:i4>3</vt:i4>
      </vt:variant>
      <vt:variant>
        <vt:i4>0</vt:i4>
      </vt:variant>
      <vt:variant>
        <vt:i4>5</vt:i4>
      </vt:variant>
      <vt:variant>
        <vt:lpwstr>http://www.diahome.org/productfiles/23753/11001_Hotel_Info_and_Map.pdf</vt:lpwstr>
      </vt:variant>
      <vt:variant>
        <vt:lpwstr/>
      </vt:variant>
      <vt:variant>
        <vt:i4>7077943</vt:i4>
      </vt:variant>
      <vt:variant>
        <vt:i4>0</vt:i4>
      </vt:variant>
      <vt:variant>
        <vt:i4>0</vt:i4>
      </vt:variant>
      <vt:variant>
        <vt:i4>5</vt:i4>
      </vt:variant>
      <vt:variant>
        <vt:lpwstr>http://www.diahome.org/DIAHOME/FlagshipMeetings/Transportation.aspx?meetingid=23753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</dc:creator>
  <cp:lastModifiedBy>Theresa Keeny</cp:lastModifiedBy>
  <cp:revision>2</cp:revision>
  <cp:lastPrinted>2014-09-25T16:10:00Z</cp:lastPrinted>
  <dcterms:created xsi:type="dcterms:W3CDTF">2021-04-30T13:01:00Z</dcterms:created>
  <dcterms:modified xsi:type="dcterms:W3CDTF">2021-04-30T13:01:00Z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0x0101007EDFF2051E4E304A84E61DD9B9CEA93D003CDCEE7519186C478F6D897AFD8C7AD3</vt:lpwstr>
  </property>
  <property fmtid="{D5CDD505-2E9C-101B-9397-08002B2CF9AE}" pid="3" name="Meeting Code">
    <vt:lpwstr>2062</vt:lpwstr>
  </property>
</Properties>
</file>