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F915F" w14:textId="1D0CF9E9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Below, you'll find a "justification letter" template — a letter to yo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the benefits you'll get from attending the </w:t>
      </w:r>
      <w:r w:rsidR="00200F97" w:rsidRPr="00200F97">
        <w:rPr>
          <w:rFonts w:ascii="Arial" w:eastAsia="Times New Roman" w:hAnsi="Arial" w:cs="Arial"/>
          <w:b/>
          <w:i/>
          <w:sz w:val="20"/>
          <w:szCs w:val="20"/>
          <w:lang w:val="en"/>
        </w:rPr>
        <w:t>Biosimilars Conference</w:t>
      </w:r>
      <w:r w:rsidRPr="00D8090C">
        <w:rPr>
          <w:rFonts w:ascii="Arial" w:eastAsia="Times New Roman" w:hAnsi="Arial" w:cs="Arial"/>
          <w:b/>
          <w:i/>
          <w:sz w:val="20"/>
          <w:szCs w:val="20"/>
          <w:lang w:val="en"/>
        </w:rPr>
        <w:t>,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 how they will make you a better employee and help advance your organization.</w:t>
      </w:r>
    </w:p>
    <w:p w14:paraId="56BF9160" w14:textId="77777777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This general template will get you started while allowing you to customize it to you and your organization's particular needs.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56BF9163" w14:textId="66BD8F97" w:rsidR="006A47E7" w:rsidRDefault="006A47E7" w:rsidP="006A47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would like to attend</w:t>
      </w:r>
      <w:r w:rsidR="00D41F0A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Hlk42249547"/>
      <w:r w:rsidR="00200F97" w:rsidRPr="00200F97">
        <w:rPr>
          <w:rFonts w:ascii="Arial" w:eastAsia="Times New Roman" w:hAnsi="Arial" w:cs="Arial"/>
          <w:i/>
          <w:sz w:val="20"/>
          <w:szCs w:val="20"/>
          <w:lang w:val="en"/>
        </w:rPr>
        <w:t>Biosimilars Conference</w:t>
      </w:r>
      <w:bookmarkEnd w:id="0"/>
      <w:r w:rsidR="00913DCB">
        <w:rPr>
          <w:rFonts w:ascii="Arial" w:hAnsi="Arial" w:cs="Arial"/>
          <w:sz w:val="20"/>
          <w:szCs w:val="20"/>
        </w:rPr>
        <w:t xml:space="preserve">, </w:t>
      </w:r>
      <w:r w:rsidR="00200F97" w:rsidRPr="00200F97">
        <w:rPr>
          <w:rFonts w:ascii="Arial" w:hAnsi="Arial" w:cs="Arial"/>
          <w:sz w:val="20"/>
          <w:szCs w:val="20"/>
        </w:rPr>
        <w:t>October 6-7</w:t>
      </w:r>
      <w:r w:rsidR="009A3659" w:rsidRPr="00200F97">
        <w:rPr>
          <w:rFonts w:ascii="Arial" w:hAnsi="Arial" w:cs="Arial"/>
          <w:sz w:val="20"/>
          <w:szCs w:val="20"/>
        </w:rPr>
        <w:t>.</w:t>
      </w:r>
    </w:p>
    <w:p w14:paraId="56BF9164" w14:textId="23D28E48" w:rsidR="006A47E7" w:rsidRPr="00BC292A" w:rsidRDefault="006A47E7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316C84" w:rsidRPr="00200F97">
        <w:rPr>
          <w:rFonts w:ascii="Arial" w:hAnsi="Arial" w:cs="Arial"/>
          <w:sz w:val="20"/>
          <w:szCs w:val="20"/>
        </w:rPr>
        <w:t>conference</w:t>
      </w:r>
      <w:r w:rsidR="00316C84" w:rsidRPr="0000116F"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brings together a global community o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 professionals at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all levels</w:t>
      </w:r>
      <w:r w:rsidR="00316C84">
        <w:rPr>
          <w:rFonts w:ascii="Arial" w:hAnsi="Arial" w:cs="Arial"/>
          <w:color w:val="353535"/>
          <w:sz w:val="20"/>
          <w:szCs w:val="20"/>
          <w:lang w:val="en"/>
        </w:rPr>
        <w:t>,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all with a common goal of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200F97" w:rsidRPr="00200F97">
        <w:rPr>
          <w:rFonts w:ascii="Arial" w:hAnsi="Arial" w:cs="Arial"/>
          <w:color w:val="353535"/>
          <w:sz w:val="20"/>
          <w:szCs w:val="20"/>
          <w:lang w:val="en"/>
        </w:rPr>
        <w:t xml:space="preserve">increasing access to safe, effective, and </w:t>
      </w:r>
      <w:proofErr w:type="gramStart"/>
      <w:r w:rsidR="00200F97" w:rsidRPr="00200F97">
        <w:rPr>
          <w:rFonts w:ascii="Arial" w:hAnsi="Arial" w:cs="Arial"/>
          <w:color w:val="353535"/>
          <w:sz w:val="20"/>
          <w:szCs w:val="20"/>
          <w:lang w:val="en"/>
        </w:rPr>
        <w:t>cost effective</w:t>
      </w:r>
      <w:proofErr w:type="gramEnd"/>
      <w:r w:rsidR="00200F97" w:rsidRPr="00200F97">
        <w:rPr>
          <w:rFonts w:ascii="Arial" w:hAnsi="Arial" w:cs="Arial"/>
          <w:color w:val="353535"/>
          <w:sz w:val="20"/>
          <w:szCs w:val="20"/>
          <w:lang w:val="en"/>
        </w:rPr>
        <w:t xml:space="preserve"> biological treatment options for patients. 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The </w:t>
      </w:r>
      <w:r w:rsidR="00200F97" w:rsidRPr="00200F97">
        <w:rPr>
          <w:rFonts w:ascii="Arial" w:eastAsia="Times New Roman" w:hAnsi="Arial" w:cs="Arial"/>
          <w:i/>
          <w:sz w:val="20"/>
          <w:szCs w:val="20"/>
          <w:lang w:val="en"/>
        </w:rPr>
        <w:t xml:space="preserve">Biosimilars Conference,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provides the </w:t>
      </w:r>
      <w:r w:rsidR="00006852">
        <w:rPr>
          <w:rFonts w:ascii="Arial" w:hAnsi="Arial" w:cs="Arial"/>
          <w:color w:val="353535"/>
          <w:sz w:val="20"/>
          <w:szCs w:val="20"/>
          <w:lang w:val="en"/>
        </w:rPr>
        <w:t>greatest</w:t>
      </w:r>
      <w:r w:rsidR="00006852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opportunity to meet with people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from around the world, share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views and knowledge, network, and build new relationships.</w:t>
      </w:r>
      <w:r w:rsidR="00BB64F3">
        <w:rPr>
          <w:rFonts w:ascii="Arial" w:eastAsia="Times New Roman" w:hAnsi="Arial" w:cs="Arial"/>
          <w:sz w:val="20"/>
          <w:szCs w:val="20"/>
        </w:rPr>
        <w:t xml:space="preserve">  </w:t>
      </w:r>
      <w:r w:rsidR="00316C8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6BF9165" w14:textId="5BA958B3" w:rsidR="006A47E7" w:rsidRPr="00BC292A" w:rsidRDefault="00316C84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Numerous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attendees, </w:t>
      </w:r>
      <w:r w:rsidR="00006852">
        <w:rPr>
          <w:rFonts w:ascii="Arial" w:eastAsia="Times New Roman" w:hAnsi="Arial" w:cs="Arial"/>
          <w:sz w:val="20"/>
          <w:szCs w:val="20"/>
        </w:rPr>
        <w:t>including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industry professionals, clinicians, patient representatives, and regulatory agenc</w:t>
      </w:r>
      <w:r w:rsidR="00051313">
        <w:rPr>
          <w:rFonts w:ascii="Arial" w:eastAsia="Times New Roman" w:hAnsi="Arial" w:cs="Arial"/>
          <w:sz w:val="20"/>
          <w:szCs w:val="20"/>
        </w:rPr>
        <w:t>y representatives</w:t>
      </w:r>
      <w:r w:rsidR="00595F27">
        <w:rPr>
          <w:rFonts w:ascii="Arial" w:eastAsia="Times New Roman" w:hAnsi="Arial" w:cs="Arial"/>
          <w:sz w:val="20"/>
          <w:szCs w:val="20"/>
        </w:rPr>
        <w:t xml:space="preserve"> from </w:t>
      </w:r>
      <w:r>
        <w:rPr>
          <w:rFonts w:ascii="Arial" w:eastAsia="Times New Roman" w:hAnsi="Arial" w:cs="Arial"/>
          <w:sz w:val="20"/>
          <w:szCs w:val="20"/>
        </w:rPr>
        <w:t>around the globe</w:t>
      </w:r>
      <w:r w:rsidR="00595F27">
        <w:rPr>
          <w:rFonts w:ascii="Arial" w:eastAsia="Times New Roman" w:hAnsi="Arial" w:cs="Arial"/>
          <w:sz w:val="20"/>
          <w:szCs w:val="20"/>
        </w:rPr>
        <w:t xml:space="preserve">, will </w:t>
      </w:r>
      <w:r w:rsidR="006A47E7" w:rsidRPr="001B17F7">
        <w:rPr>
          <w:rFonts w:ascii="Arial" w:eastAsia="Times New Roman" w:hAnsi="Arial" w:cs="Arial"/>
          <w:sz w:val="20"/>
          <w:szCs w:val="20"/>
        </w:rPr>
        <w:t>att</w:t>
      </w:r>
      <w:r w:rsidR="00595F27">
        <w:rPr>
          <w:rFonts w:ascii="Arial" w:eastAsia="Times New Roman" w:hAnsi="Arial" w:cs="Arial"/>
          <w:sz w:val="20"/>
          <w:szCs w:val="20"/>
        </w:rPr>
        <w:t xml:space="preserve">end and present at this 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event. </w:t>
      </w:r>
      <w:r w:rsidR="006A47E7" w:rsidRPr="00200F97">
        <w:rPr>
          <w:rFonts w:ascii="Arial" w:eastAsia="Times New Roman" w:hAnsi="Arial" w:cs="Arial"/>
          <w:sz w:val="20"/>
          <w:szCs w:val="20"/>
        </w:rPr>
        <w:t xml:space="preserve">In addition, </w:t>
      </w:r>
      <w:proofErr w:type="gramStart"/>
      <w:r w:rsidR="00200F97" w:rsidRPr="00200F97">
        <w:rPr>
          <w:rFonts w:ascii="Arial" w:eastAsia="Times New Roman" w:hAnsi="Arial" w:cs="Arial"/>
          <w:sz w:val="20"/>
          <w:szCs w:val="20"/>
        </w:rPr>
        <w:t>They’ll</w:t>
      </w:r>
      <w:proofErr w:type="gramEnd"/>
      <w:r w:rsidR="00200F97" w:rsidRPr="00200F97">
        <w:rPr>
          <w:rFonts w:ascii="Arial" w:eastAsia="Times New Roman" w:hAnsi="Arial" w:cs="Arial"/>
          <w:sz w:val="20"/>
          <w:szCs w:val="20"/>
        </w:rPr>
        <w:t xml:space="preserve"> apply the newest thinking and relevant learnings from global regions to build strategies for continuing the growth of the biosimilars market and bringing these important biologic therapies – and cost savings - to patients.</w:t>
      </w:r>
    </w:p>
    <w:p w14:paraId="30F3F371" w14:textId="5492A5DD" w:rsidR="00C04839" w:rsidRDefault="006A47E7" w:rsidP="006A47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 xml:space="preserve">While attending this </w:t>
      </w:r>
      <w:r w:rsidR="00856CB2" w:rsidRPr="00200F97">
        <w:rPr>
          <w:rFonts w:ascii="Arial" w:hAnsi="Arial" w:cs="Arial"/>
          <w:sz w:val="20"/>
          <w:szCs w:val="20"/>
        </w:rPr>
        <w:t>conference</w:t>
      </w:r>
      <w:r w:rsidRPr="00200F97">
        <w:rPr>
          <w:rFonts w:ascii="Arial" w:eastAsia="Times New Roman" w:hAnsi="Arial" w:cs="Arial"/>
          <w:sz w:val="20"/>
          <w:szCs w:val="20"/>
        </w:rPr>
        <w:t>,</w:t>
      </w:r>
      <w:r w:rsidRPr="001B17F7">
        <w:rPr>
          <w:rFonts w:ascii="Arial" w:eastAsia="Times New Roman" w:hAnsi="Arial" w:cs="Arial"/>
          <w:sz w:val="20"/>
          <w:szCs w:val="20"/>
        </w:rPr>
        <w:t xml:space="preserve"> I will be able to </w:t>
      </w:r>
      <w:r w:rsidR="00BB64F3">
        <w:rPr>
          <w:rFonts w:ascii="Arial" w:eastAsia="Times New Roman" w:hAnsi="Arial" w:cs="Arial"/>
          <w:sz w:val="20"/>
          <w:szCs w:val="20"/>
        </w:rPr>
        <w:t>participate in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051313" w:rsidRPr="001B17F7">
        <w:rPr>
          <w:rFonts w:ascii="Arial" w:eastAsia="Times New Roman" w:hAnsi="Arial" w:cs="Arial"/>
          <w:sz w:val="20"/>
          <w:szCs w:val="20"/>
        </w:rPr>
        <w:t>several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 xml:space="preserve">global, interdisciplinary, cross-functional </w:t>
      </w:r>
      <w:r w:rsidRPr="001B17F7">
        <w:rPr>
          <w:rFonts w:ascii="Arial" w:eastAsia="Times New Roman" w:hAnsi="Arial" w:cs="Arial"/>
          <w:sz w:val="20"/>
          <w:szCs w:val="20"/>
        </w:rPr>
        <w:t xml:space="preserve">educational </w:t>
      </w:r>
      <w:r w:rsidR="00692E85">
        <w:rPr>
          <w:rFonts w:ascii="Arial" w:eastAsia="Times New Roman" w:hAnsi="Arial" w:cs="Arial"/>
          <w:sz w:val="20"/>
          <w:szCs w:val="20"/>
        </w:rPr>
        <w:t>offerings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with real</w:t>
      </w:r>
      <w:r w:rsidR="00251138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world applications</w:t>
      </w:r>
      <w:r w:rsidR="00C04839">
        <w:rPr>
          <w:rFonts w:ascii="Arial" w:eastAsia="Times New Roman" w:hAnsi="Arial" w:cs="Arial"/>
          <w:sz w:val="20"/>
          <w:szCs w:val="20"/>
        </w:rPr>
        <w:t xml:space="preserve">. I will also </w:t>
      </w:r>
      <w:r w:rsidR="004E48C8">
        <w:rPr>
          <w:rFonts w:ascii="Arial" w:eastAsia="Times New Roman" w:hAnsi="Arial" w:cs="Arial"/>
          <w:sz w:val="20"/>
          <w:szCs w:val="20"/>
        </w:rPr>
        <w:t>have the unique ability to</w:t>
      </w:r>
      <w:r w:rsidR="00C04839">
        <w:rPr>
          <w:rFonts w:ascii="Arial" w:eastAsia="Times New Roman" w:hAnsi="Arial" w:cs="Arial"/>
          <w:sz w:val="20"/>
          <w:szCs w:val="20"/>
        </w:rPr>
        <w:t xml:space="preserve"> </w:t>
      </w:r>
      <w:r w:rsidRPr="001B17F7">
        <w:rPr>
          <w:rFonts w:ascii="Arial" w:eastAsia="Times New Roman" w:hAnsi="Arial" w:cs="Arial"/>
          <w:sz w:val="20"/>
          <w:szCs w:val="20"/>
        </w:rPr>
        <w:t xml:space="preserve">network with a variety of </w:t>
      </w:r>
      <w:r w:rsidR="00545A03">
        <w:rPr>
          <w:rFonts w:ascii="Arial" w:eastAsia="Times New Roman" w:hAnsi="Arial" w:cs="Arial"/>
          <w:sz w:val="20"/>
          <w:szCs w:val="20"/>
        </w:rPr>
        <w:t xml:space="preserve">top </w:t>
      </w:r>
      <w:r w:rsidRPr="001B17F7">
        <w:rPr>
          <w:rFonts w:ascii="Arial" w:eastAsia="Times New Roman" w:hAnsi="Arial" w:cs="Arial"/>
          <w:sz w:val="20"/>
          <w:szCs w:val="20"/>
        </w:rPr>
        <w:t xml:space="preserve">experts </w:t>
      </w:r>
      <w:r w:rsidR="00545A03">
        <w:rPr>
          <w:rFonts w:ascii="Arial" w:eastAsia="Times New Roman" w:hAnsi="Arial" w:cs="Arial"/>
          <w:sz w:val="20"/>
          <w:szCs w:val="20"/>
        </w:rPr>
        <w:t xml:space="preserve">in </w:t>
      </w:r>
      <w:r w:rsidR="00856CB2">
        <w:rPr>
          <w:rFonts w:ascii="Arial" w:eastAsia="Times New Roman" w:hAnsi="Arial" w:cs="Arial"/>
          <w:sz w:val="20"/>
          <w:szCs w:val="20"/>
        </w:rPr>
        <w:t xml:space="preserve">the </w:t>
      </w:r>
      <w:r w:rsidR="00200F97" w:rsidRPr="00200F97">
        <w:rPr>
          <w:rFonts w:ascii="Arial" w:eastAsia="Times New Roman" w:hAnsi="Arial" w:cs="Arial"/>
          <w:sz w:val="20"/>
          <w:szCs w:val="20"/>
        </w:rPr>
        <w:t>Biosimilars</w:t>
      </w:r>
      <w:r w:rsidR="00856CB2">
        <w:rPr>
          <w:rFonts w:ascii="Arial" w:eastAsia="Times New Roman" w:hAnsi="Arial" w:cs="Arial"/>
          <w:sz w:val="20"/>
          <w:szCs w:val="20"/>
        </w:rPr>
        <w:t xml:space="preserve"> field. </w:t>
      </w:r>
    </w:p>
    <w:p w14:paraId="40893E2F" w14:textId="5334FEA1" w:rsidR="00550FE4" w:rsidRDefault="00856CB2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6BF9166" w14:textId="4217C53A" w:rsidR="006A47E7" w:rsidRPr="0000116F" w:rsidRDefault="006A47E7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 xml:space="preserve">This </w:t>
      </w:r>
      <w:r w:rsidR="00856CB2" w:rsidRPr="00200F97">
        <w:rPr>
          <w:rFonts w:ascii="Arial" w:hAnsi="Arial" w:cs="Arial"/>
          <w:sz w:val="20"/>
          <w:szCs w:val="20"/>
        </w:rPr>
        <w:t>conference</w:t>
      </w:r>
      <w:r w:rsidRPr="0000116F">
        <w:rPr>
          <w:rFonts w:ascii="Arial" w:hAnsi="Arial" w:cs="Arial"/>
          <w:sz w:val="20"/>
          <w:szCs w:val="20"/>
        </w:rPr>
        <w:t xml:space="preserve"> also offers</w:t>
      </w:r>
      <w:r w:rsidR="00051313">
        <w:rPr>
          <w:rFonts w:ascii="Arial" w:hAnsi="Arial" w:cs="Arial"/>
          <w:sz w:val="20"/>
          <w:szCs w:val="20"/>
        </w:rPr>
        <w:t xml:space="preserve"> Continuing Education Credits and</w:t>
      </w:r>
      <w:r w:rsidRPr="0000116F">
        <w:rPr>
          <w:rFonts w:ascii="Arial" w:hAnsi="Arial" w:cs="Arial"/>
          <w:sz w:val="20"/>
          <w:szCs w:val="20"/>
        </w:rPr>
        <w:t xml:space="preserve"> </w:t>
      </w:r>
      <w:r w:rsidR="004E48C8">
        <w:rPr>
          <w:rFonts w:ascii="Arial" w:hAnsi="Arial" w:cs="Arial"/>
          <w:sz w:val="20"/>
          <w:szCs w:val="20"/>
        </w:rPr>
        <w:t xml:space="preserve">numerous </w:t>
      </w:r>
      <w:r w:rsidR="00856CB2">
        <w:rPr>
          <w:rFonts w:ascii="Arial" w:hAnsi="Arial" w:cs="Arial"/>
          <w:sz w:val="20"/>
          <w:szCs w:val="20"/>
        </w:rPr>
        <w:t>sessions covering various interest areas including:</w:t>
      </w:r>
      <w:r w:rsidRPr="0000116F">
        <w:rPr>
          <w:rFonts w:ascii="Arial" w:hAnsi="Arial" w:cs="Arial"/>
          <w:sz w:val="20"/>
          <w:szCs w:val="20"/>
        </w:rPr>
        <w:t xml:space="preserve"> </w:t>
      </w:r>
    </w:p>
    <w:p w14:paraId="56BF9167" w14:textId="77777777" w:rsidR="006A47E7" w:rsidRPr="0000116F" w:rsidRDefault="006A47E7" w:rsidP="006A47E7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14:paraId="56BF9168" w14:textId="0B0054FF" w:rsidR="006A47E7" w:rsidRDefault="006A47E7" w:rsidP="006A47E7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&lt;select </w:t>
      </w:r>
      <w:r w:rsidR="0000116F" w:rsidRPr="0000116F">
        <w:rPr>
          <w:rFonts w:ascii="Arial" w:hAnsi="Arial" w:cs="Arial"/>
          <w:b/>
          <w:color w:val="313131"/>
          <w:sz w:val="20"/>
          <w:szCs w:val="20"/>
        </w:rPr>
        <w:t>interest areas</w:t>
      </w: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 applicable to you&gt;</w:t>
      </w:r>
    </w:p>
    <w:p w14:paraId="5DE3F90B" w14:textId="77777777" w:rsidR="004478D5" w:rsidRPr="0000116F" w:rsidRDefault="004478D5" w:rsidP="006A47E7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14:paraId="56BF9169" w14:textId="77777777" w:rsidR="006A47E7" w:rsidRPr="0000116F" w:rsidRDefault="006A47E7" w:rsidP="006A47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6A47E7" w:rsidRPr="0000116F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79CFA7" w14:textId="77777777" w:rsidR="00200F97" w:rsidRPr="00D04FDB" w:rsidRDefault="00200F97" w:rsidP="00200F97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D04FDB">
        <w:rPr>
          <w:rFonts w:ascii="Arial" w:hAnsi="Arial" w:cs="Arial"/>
        </w:rPr>
        <w:t xml:space="preserve">Discuss current developments in regulatory and scientific issues and their impact on development, manufacturing, access, and uptake of biosimilars and interchangeable products </w:t>
      </w:r>
    </w:p>
    <w:p w14:paraId="6F1FF396" w14:textId="77777777" w:rsidR="00200F97" w:rsidRPr="00D04FDB" w:rsidRDefault="00200F97" w:rsidP="00200F97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D04FDB">
        <w:rPr>
          <w:rFonts w:ascii="Arial" w:hAnsi="Arial" w:cs="Arial"/>
        </w:rPr>
        <w:t>Discuss imperative and progress in streamlining biosimilar development</w:t>
      </w:r>
    </w:p>
    <w:p w14:paraId="37D0AAFE" w14:textId="77777777" w:rsidR="00200F97" w:rsidRPr="00D04FDB" w:rsidRDefault="00200F97" w:rsidP="00200F97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D04FDB">
        <w:rPr>
          <w:rFonts w:ascii="Arial" w:hAnsi="Arial" w:cs="Arial"/>
        </w:rPr>
        <w:t xml:space="preserve">Describe the US reimbursement and pricing landscape and its impact on market uptake and sustainability of biosimilars and interchangeable biological products </w:t>
      </w:r>
    </w:p>
    <w:p w14:paraId="5B3CA285" w14:textId="77777777" w:rsidR="00200F97" w:rsidRPr="00D04FDB" w:rsidRDefault="00200F97" w:rsidP="00200F97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D04FDB">
        <w:rPr>
          <w:rFonts w:ascii="Arial" w:hAnsi="Arial" w:cs="Arial"/>
        </w:rPr>
        <w:t xml:space="preserve">Examine current prescriber and patient confidence and patterns of biosimilar use, and </w:t>
      </w:r>
      <w:r w:rsidRPr="00D04FDB">
        <w:rPr>
          <w:rFonts w:ascii="Arial" w:hAnsi="Arial" w:cs="Arial"/>
        </w:rPr>
        <w:t>education efforts that have been successful in increasing literacy on these products</w:t>
      </w:r>
    </w:p>
    <w:p w14:paraId="4033B6C3" w14:textId="77777777" w:rsidR="00200F97" w:rsidRPr="00D04FDB" w:rsidRDefault="00200F97" w:rsidP="00200F97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D04FDB">
        <w:rPr>
          <w:rFonts w:ascii="Arial" w:hAnsi="Arial" w:cs="Arial"/>
        </w:rPr>
        <w:t>Describe relevant international developments influencing patterns of biosimilar uptake globally</w:t>
      </w:r>
    </w:p>
    <w:p w14:paraId="1AF726A4" w14:textId="77777777" w:rsidR="00200F97" w:rsidRPr="00D04FDB" w:rsidRDefault="00200F97" w:rsidP="00200F97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D04FDB">
        <w:rPr>
          <w:rFonts w:ascii="Arial" w:hAnsi="Arial" w:cs="Arial"/>
        </w:rPr>
        <w:t>Discuss new product targets for biosimilar development</w:t>
      </w:r>
    </w:p>
    <w:p w14:paraId="16922637" w14:textId="77777777" w:rsidR="00200F97" w:rsidRPr="00D04FDB" w:rsidRDefault="00200F97" w:rsidP="00200F9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D04FDB">
        <w:rPr>
          <w:rFonts w:ascii="Arial" w:hAnsi="Arial" w:cs="Arial"/>
        </w:rPr>
        <w:t>Explore the nature of the US biosimilars landscape in the next 5 years, and how equilibrium will be defined</w:t>
      </w:r>
    </w:p>
    <w:p w14:paraId="7FD0CE23" w14:textId="77777777" w:rsidR="00200F97" w:rsidRPr="00D04FDB" w:rsidRDefault="00200F97" w:rsidP="00200F97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04FDB">
        <w:rPr>
          <w:rFonts w:ascii="Arial" w:hAnsi="Arial" w:cs="Arial"/>
        </w:rPr>
        <w:t xml:space="preserve">Describe the status of biosimilar product development, availability, and uptake in the US </w:t>
      </w:r>
    </w:p>
    <w:p w14:paraId="56BF917C" w14:textId="77777777" w:rsidR="00BA10E7" w:rsidRDefault="00BA10E7" w:rsidP="0000116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6BF917D" w14:textId="77777777" w:rsidR="00BA10E7" w:rsidRPr="00BA10E7" w:rsidRDefault="00BA10E7" w:rsidP="0000116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BA10E7" w:rsidRPr="00BA10E7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6BF917E" w14:textId="47F9B266" w:rsidR="00957B88" w:rsidRDefault="00957B88" w:rsidP="00957B88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I am seeking your support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this </w:t>
      </w:r>
      <w:r w:rsidR="00EC25C1" w:rsidRPr="00200F97">
        <w:rPr>
          <w:rFonts w:ascii="Arial" w:hAnsi="Arial" w:cs="Arial"/>
          <w:sz w:val="20"/>
          <w:szCs w:val="20"/>
        </w:rPr>
        <w:t>conference</w:t>
      </w:r>
      <w:r>
        <w:rPr>
          <w:rFonts w:ascii="Arial" w:hAnsi="Arial" w:cs="Arial"/>
          <w:sz w:val="20"/>
          <w:szCs w:val="20"/>
        </w:rPr>
        <w:t>. The registration fee</w:t>
      </w:r>
      <w:r w:rsidR="003954E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travel expenses, and per diem are estimated below. </w:t>
      </w:r>
    </w:p>
    <w:p w14:paraId="56BF917F" w14:textId="498E8584" w:rsidR="00A81119" w:rsidRDefault="0098522C" w:rsidP="00AC1BE2">
      <w:pPr>
        <w:pStyle w:val="NormalWeb"/>
        <w:rPr>
          <w:rStyle w:val="Strong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Registration</w:t>
      </w:r>
      <w:r w:rsidR="006A47E7" w:rsidRPr="009A3659">
        <w:rPr>
          <w:rFonts w:ascii="Arial" w:hAnsi="Arial" w:cs="Arial"/>
          <w:sz w:val="20"/>
          <w:szCs w:val="20"/>
        </w:rPr>
        <w:t xml:space="preserve"> Fee: </w:t>
      </w:r>
      <w:r w:rsidR="00986411">
        <w:rPr>
          <w:rStyle w:val="Strong"/>
          <w:rFonts w:ascii="Arial" w:hAnsi="Arial" w:cs="Arial"/>
          <w:sz w:val="20"/>
          <w:szCs w:val="20"/>
        </w:rPr>
        <w:t>&lt;</w:t>
      </w:r>
      <w:r w:rsidR="003954EB">
        <w:rPr>
          <w:rStyle w:val="Strong"/>
          <w:rFonts w:ascii="Arial" w:hAnsi="Arial" w:cs="Arial"/>
          <w:sz w:val="20"/>
          <w:szCs w:val="20"/>
        </w:rPr>
        <w:t>$</w:t>
      </w:r>
      <w:r w:rsidR="00251138">
        <w:rPr>
          <w:rStyle w:val="Strong"/>
          <w:rFonts w:ascii="Arial" w:hAnsi="Arial" w:cs="Arial"/>
          <w:sz w:val="20"/>
          <w:szCs w:val="20"/>
        </w:rPr>
        <w:t>XXX</w:t>
      </w:r>
      <w:r w:rsidR="00521323" w:rsidRPr="009A3659">
        <w:rPr>
          <w:rStyle w:val="Strong"/>
          <w:rFonts w:ascii="Arial" w:hAnsi="Arial" w:cs="Arial"/>
          <w:sz w:val="20"/>
          <w:szCs w:val="20"/>
        </w:rPr>
        <w:t>&gt; see</w:t>
      </w:r>
      <w:r w:rsidR="006A47E7" w:rsidRPr="009A3659">
        <w:rPr>
          <w:rStyle w:val="Strong"/>
          <w:rFonts w:ascii="Arial" w:hAnsi="Arial" w:cs="Arial"/>
          <w:sz w:val="20"/>
          <w:szCs w:val="20"/>
        </w:rPr>
        <w:t xml:space="preserve"> below</w:t>
      </w:r>
      <w:r w:rsidR="00D90C6A"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5FEC5BEA" w14:textId="0C46B704" w:rsidR="00D90C6A" w:rsidRDefault="00D90C6A" w:rsidP="00AC1BE2">
      <w:pPr>
        <w:pStyle w:val="NormalWeb"/>
      </w:pPr>
    </w:p>
    <w:p w14:paraId="3D73ECA8" w14:textId="77777777" w:rsidR="00FF5D7E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4ACDFD0C" w14:textId="29304FD8" w:rsidR="00FF5D7E" w:rsidRPr="001803F8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Style w:val="Strong"/>
          <w:rFonts w:ascii="Arial" w:hAnsi="Arial" w:cs="Arial"/>
          <w:sz w:val="20"/>
          <w:szCs w:val="20"/>
        </w:rPr>
        <w:t>Registration Fees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85"/>
        <w:gridCol w:w="2520"/>
        <w:gridCol w:w="2245"/>
      </w:tblGrid>
      <w:tr w:rsidR="00FF5D7E" w:rsidRPr="001803F8" w14:paraId="2EAF370B" w14:textId="77777777" w:rsidTr="00EB2EA4">
        <w:tc>
          <w:tcPr>
            <w:tcW w:w="4585" w:type="dxa"/>
            <w:shd w:val="clear" w:color="auto" w:fill="BFBFBF" w:themeFill="background1" w:themeFillShade="BF"/>
          </w:tcPr>
          <w:p w14:paraId="5B718036" w14:textId="07AE7CD5" w:rsidR="00FF5D7E" w:rsidRPr="001803F8" w:rsidRDefault="00FF5D7E" w:rsidP="00EB2EA4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Early Bird Rates Through </w:t>
            </w:r>
            <w:r w:rsidR="00200F97">
              <w:rPr>
                <w:rFonts w:ascii="Arial" w:hAnsi="Arial" w:cs="Arial"/>
                <w:b/>
                <w:sz w:val="20"/>
                <w:szCs w:val="20"/>
              </w:rPr>
              <w:t>August 11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2C508311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14:paraId="27C0E8C9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Nonmember</w:t>
            </w:r>
          </w:p>
        </w:tc>
      </w:tr>
      <w:tr w:rsidR="00FF5D7E" w:rsidRPr="001803F8" w14:paraId="05B290F9" w14:textId="77777777" w:rsidTr="00EB2EA4">
        <w:tc>
          <w:tcPr>
            <w:tcW w:w="4585" w:type="dxa"/>
          </w:tcPr>
          <w:p w14:paraId="12DF7A8A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226CB5EF" w14:textId="7F07110A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200F97">
              <w:rPr>
                <w:rFonts w:ascii="Arial" w:hAnsi="Arial" w:cs="Arial"/>
                <w:sz w:val="20"/>
                <w:szCs w:val="20"/>
              </w:rPr>
              <w:t>635</w:t>
            </w:r>
          </w:p>
        </w:tc>
        <w:tc>
          <w:tcPr>
            <w:tcW w:w="2245" w:type="dxa"/>
          </w:tcPr>
          <w:p w14:paraId="3F8C5556" w14:textId="26893553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00F97">
              <w:rPr>
                <w:rFonts w:ascii="Arial" w:hAnsi="Arial" w:cs="Arial"/>
                <w:sz w:val="20"/>
                <w:szCs w:val="20"/>
              </w:rPr>
              <w:t>859</w:t>
            </w:r>
          </w:p>
        </w:tc>
      </w:tr>
      <w:tr w:rsidR="00FF5D7E" w:rsidRPr="001803F8" w14:paraId="61EE9744" w14:textId="77777777" w:rsidTr="00EB2EA4">
        <w:tc>
          <w:tcPr>
            <w:tcW w:w="4585" w:type="dxa"/>
          </w:tcPr>
          <w:p w14:paraId="2E7053EF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650C97F" w14:textId="70E3E0B9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00F97">
              <w:rPr>
                <w:rFonts w:ascii="Arial" w:hAnsi="Arial" w:cs="Arial"/>
                <w:sz w:val="20"/>
                <w:szCs w:val="20"/>
              </w:rPr>
              <w:t>635</w:t>
            </w:r>
          </w:p>
        </w:tc>
        <w:tc>
          <w:tcPr>
            <w:tcW w:w="2245" w:type="dxa"/>
          </w:tcPr>
          <w:p w14:paraId="044EE688" w14:textId="530C1C1D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095301">
              <w:rPr>
                <w:rFonts w:ascii="Arial" w:hAnsi="Arial" w:cs="Arial"/>
                <w:sz w:val="20"/>
                <w:szCs w:val="20"/>
              </w:rPr>
              <w:t>929</w:t>
            </w:r>
          </w:p>
        </w:tc>
      </w:tr>
      <w:tr w:rsidR="00FF5D7E" w:rsidRPr="001803F8" w14:paraId="118DD104" w14:textId="77777777" w:rsidTr="00EB2EA4">
        <w:tc>
          <w:tcPr>
            <w:tcW w:w="4585" w:type="dxa"/>
          </w:tcPr>
          <w:p w14:paraId="192DFDD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146F2D45" w14:textId="3A13CBE4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00F97">
              <w:rPr>
                <w:rFonts w:ascii="Arial" w:hAnsi="Arial" w:cs="Arial"/>
                <w:sz w:val="20"/>
                <w:szCs w:val="20"/>
              </w:rPr>
              <w:t>1339</w:t>
            </w:r>
          </w:p>
        </w:tc>
        <w:tc>
          <w:tcPr>
            <w:tcW w:w="2245" w:type="dxa"/>
          </w:tcPr>
          <w:p w14:paraId="08286A97" w14:textId="7DC27794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200F97">
              <w:rPr>
                <w:rFonts w:ascii="Arial" w:hAnsi="Arial" w:cs="Arial"/>
                <w:sz w:val="20"/>
                <w:szCs w:val="20"/>
              </w:rPr>
              <w:t>1629</w:t>
            </w:r>
          </w:p>
        </w:tc>
      </w:tr>
      <w:tr w:rsidR="00FF5D7E" w:rsidRPr="001803F8" w14:paraId="52523860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089835BD" w14:textId="72BE83D9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Advance Rates Through </w:t>
            </w:r>
            <w:r w:rsidR="00200F97">
              <w:rPr>
                <w:rFonts w:ascii="Arial" w:hAnsi="Arial" w:cs="Arial"/>
                <w:b/>
                <w:sz w:val="20"/>
                <w:szCs w:val="20"/>
              </w:rPr>
              <w:t>September 8</w:t>
            </w:r>
          </w:p>
        </w:tc>
      </w:tr>
      <w:tr w:rsidR="00FF5D7E" w:rsidRPr="001803F8" w14:paraId="1439BB95" w14:textId="77777777" w:rsidTr="00EB2EA4">
        <w:tc>
          <w:tcPr>
            <w:tcW w:w="4585" w:type="dxa"/>
          </w:tcPr>
          <w:p w14:paraId="374994DD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1CE0C1E5" w14:textId="5AD0F8DE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$</w:t>
            </w:r>
            <w:r w:rsidR="00200F97"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2245" w:type="dxa"/>
          </w:tcPr>
          <w:p w14:paraId="757B3F56" w14:textId="07DBC855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95301">
              <w:rPr>
                <w:rFonts w:ascii="Arial" w:hAnsi="Arial" w:cs="Arial"/>
                <w:sz w:val="20"/>
                <w:szCs w:val="20"/>
              </w:rPr>
              <w:t>859</w:t>
            </w:r>
          </w:p>
        </w:tc>
      </w:tr>
      <w:tr w:rsidR="00FF5D7E" w:rsidRPr="001803F8" w14:paraId="5F15D3AB" w14:textId="77777777" w:rsidTr="00EB2EA4">
        <w:tc>
          <w:tcPr>
            <w:tcW w:w="4585" w:type="dxa"/>
          </w:tcPr>
          <w:p w14:paraId="05DE07FE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31E54BFA" w14:textId="15FD02B1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00F97"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2245" w:type="dxa"/>
          </w:tcPr>
          <w:p w14:paraId="44A09235" w14:textId="134A0F05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095301">
              <w:rPr>
                <w:rFonts w:ascii="Arial" w:hAnsi="Arial" w:cs="Arial"/>
                <w:sz w:val="20"/>
                <w:szCs w:val="20"/>
              </w:rPr>
              <w:t>929</w:t>
            </w:r>
          </w:p>
        </w:tc>
      </w:tr>
      <w:tr w:rsidR="00FF5D7E" w:rsidRPr="001803F8" w14:paraId="7AF3F347" w14:textId="77777777" w:rsidTr="00EB2EA4">
        <w:tc>
          <w:tcPr>
            <w:tcW w:w="4585" w:type="dxa"/>
          </w:tcPr>
          <w:p w14:paraId="63662DD9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61F9B8CB" w14:textId="1F8FFC11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00F97">
              <w:rPr>
                <w:rFonts w:ascii="Arial" w:hAnsi="Arial" w:cs="Arial"/>
                <w:sz w:val="20"/>
                <w:szCs w:val="20"/>
              </w:rPr>
              <w:t>1469</w:t>
            </w:r>
          </w:p>
        </w:tc>
        <w:tc>
          <w:tcPr>
            <w:tcW w:w="2245" w:type="dxa"/>
          </w:tcPr>
          <w:p w14:paraId="44333137" w14:textId="0894DCCC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200F97">
              <w:rPr>
                <w:rFonts w:ascii="Arial" w:hAnsi="Arial" w:cs="Arial"/>
                <w:sz w:val="20"/>
                <w:szCs w:val="20"/>
              </w:rPr>
              <w:t>1699</w:t>
            </w:r>
          </w:p>
        </w:tc>
      </w:tr>
      <w:tr w:rsidR="00FF5D7E" w:rsidRPr="001803F8" w14:paraId="650614BA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7BC8E4FF" w14:textId="31233642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Standard Rates Beginning </w:t>
            </w:r>
            <w:r w:rsidR="00200F97">
              <w:rPr>
                <w:rFonts w:ascii="Arial" w:hAnsi="Arial" w:cs="Arial"/>
                <w:b/>
                <w:sz w:val="20"/>
                <w:szCs w:val="20"/>
              </w:rPr>
              <w:t>September 9</w:t>
            </w:r>
          </w:p>
        </w:tc>
      </w:tr>
      <w:tr w:rsidR="00FF5D7E" w:rsidRPr="001803F8" w14:paraId="653B0622" w14:textId="77777777" w:rsidTr="00EB2EA4">
        <w:tc>
          <w:tcPr>
            <w:tcW w:w="4585" w:type="dxa"/>
          </w:tcPr>
          <w:p w14:paraId="35561AC8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434E441F" w14:textId="42698AFC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00F97">
              <w:rPr>
                <w:rFonts w:ascii="Arial" w:hAnsi="Arial" w:cs="Arial"/>
                <w:sz w:val="20"/>
                <w:szCs w:val="20"/>
              </w:rPr>
              <w:t>769</w:t>
            </w:r>
          </w:p>
        </w:tc>
        <w:tc>
          <w:tcPr>
            <w:tcW w:w="2245" w:type="dxa"/>
          </w:tcPr>
          <w:p w14:paraId="2C982E75" w14:textId="047B3FED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00F97">
              <w:rPr>
                <w:rFonts w:ascii="Arial" w:hAnsi="Arial" w:cs="Arial"/>
                <w:sz w:val="20"/>
                <w:szCs w:val="20"/>
              </w:rPr>
              <w:t>995</w:t>
            </w:r>
          </w:p>
        </w:tc>
      </w:tr>
      <w:tr w:rsidR="00FF5D7E" w:rsidRPr="001803F8" w14:paraId="38B227E0" w14:textId="77777777" w:rsidTr="00EB2EA4">
        <w:tc>
          <w:tcPr>
            <w:tcW w:w="4585" w:type="dxa"/>
          </w:tcPr>
          <w:p w14:paraId="2467391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7051E8A" w14:textId="03F99CBF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200F97">
              <w:rPr>
                <w:rFonts w:ascii="Arial" w:hAnsi="Arial" w:cs="Arial"/>
                <w:sz w:val="20"/>
                <w:szCs w:val="20"/>
              </w:rPr>
              <w:t>769</w:t>
            </w:r>
          </w:p>
        </w:tc>
        <w:tc>
          <w:tcPr>
            <w:tcW w:w="2245" w:type="dxa"/>
          </w:tcPr>
          <w:p w14:paraId="0A71540D" w14:textId="197F062F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095301">
              <w:rPr>
                <w:rFonts w:ascii="Arial" w:hAnsi="Arial" w:cs="Arial"/>
                <w:sz w:val="20"/>
                <w:szCs w:val="20"/>
              </w:rPr>
              <w:t>995</w:t>
            </w:r>
          </w:p>
        </w:tc>
      </w:tr>
      <w:tr w:rsidR="00FF5D7E" w:rsidRPr="001803F8" w14:paraId="732932E5" w14:textId="77777777" w:rsidTr="00EB2EA4">
        <w:tc>
          <w:tcPr>
            <w:tcW w:w="4585" w:type="dxa"/>
          </w:tcPr>
          <w:p w14:paraId="25B09C36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0365834F" w14:textId="6283A6D2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200F97">
              <w:rPr>
                <w:rFonts w:ascii="Arial" w:hAnsi="Arial" w:cs="Arial"/>
                <w:sz w:val="20"/>
                <w:szCs w:val="20"/>
              </w:rPr>
              <w:t>1539</w:t>
            </w:r>
          </w:p>
        </w:tc>
        <w:tc>
          <w:tcPr>
            <w:tcW w:w="2245" w:type="dxa"/>
          </w:tcPr>
          <w:p w14:paraId="686B304F" w14:textId="5BC06935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200F97">
              <w:rPr>
                <w:rFonts w:ascii="Arial" w:hAnsi="Arial" w:cs="Arial"/>
                <w:sz w:val="20"/>
                <w:szCs w:val="20"/>
              </w:rPr>
              <w:t>1769</w:t>
            </w:r>
          </w:p>
        </w:tc>
      </w:tr>
    </w:tbl>
    <w:p w14:paraId="0E926020" w14:textId="77777777" w:rsidR="00FF5D7E" w:rsidRPr="007D14BF" w:rsidRDefault="00FF5D7E" w:rsidP="00FF5D7E">
      <w:pPr>
        <w:pStyle w:val="NormalWeb"/>
        <w:rPr>
          <w:rFonts w:ascii="Arial" w:hAnsi="Arial" w:cs="Arial"/>
          <w:sz w:val="20"/>
          <w:szCs w:val="20"/>
        </w:rPr>
      </w:pPr>
      <w:r w:rsidRPr="007D14BF">
        <w:rPr>
          <w:rFonts w:ascii="Arial" w:hAnsi="Arial" w:cs="Arial"/>
          <w:sz w:val="20"/>
          <w:szCs w:val="20"/>
        </w:rPr>
        <w:t>Student Rate: $400</w:t>
      </w:r>
      <w:r w:rsidRPr="007D14BF">
        <w:rPr>
          <w:rFonts w:ascii="Arial" w:hAnsi="Arial" w:cs="Arial"/>
          <w:sz w:val="20"/>
          <w:szCs w:val="20"/>
        </w:rPr>
        <w:br/>
        <w:t>Patient/Patient Advocate Rate: $400</w:t>
      </w:r>
    </w:p>
    <w:p w14:paraId="0FE7CDC7" w14:textId="77777777" w:rsidR="00FF5D7E" w:rsidRDefault="00FF5D7E" w:rsidP="00AC1BE2">
      <w:pPr>
        <w:pStyle w:val="NormalWeb"/>
      </w:pPr>
    </w:p>
    <w:p w14:paraId="56BF9197" w14:textId="5BE2C9B2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 for taking the time to review this proposal. By attending the</w:t>
      </w:r>
      <w:r w:rsidR="00492321">
        <w:rPr>
          <w:rFonts w:ascii="Arial" w:hAnsi="Arial" w:cs="Arial"/>
          <w:sz w:val="20"/>
          <w:szCs w:val="20"/>
        </w:rPr>
        <w:t xml:space="preserve"> </w:t>
      </w:r>
      <w:r w:rsidR="00095301" w:rsidRPr="00095301">
        <w:rPr>
          <w:rFonts w:ascii="Arial" w:hAnsi="Arial" w:cs="Arial"/>
          <w:i/>
          <w:sz w:val="20"/>
          <w:szCs w:val="20"/>
          <w:lang w:val="en"/>
        </w:rPr>
        <w:t>Biosimilars Conference</w:t>
      </w:r>
      <w:r w:rsidR="00492321">
        <w:rPr>
          <w:rFonts w:ascii="Arial" w:hAnsi="Arial" w:cs="Arial"/>
          <w:sz w:val="20"/>
          <w:szCs w:val="20"/>
        </w:rPr>
        <w:t>,</w:t>
      </w:r>
      <w:r w:rsidR="00A078C7">
        <w:rPr>
          <w:rFonts w:ascii="Arial" w:hAnsi="Arial" w:cs="Arial"/>
          <w:sz w:val="20"/>
          <w:szCs w:val="20"/>
        </w:rPr>
        <w:t xml:space="preserve"> </w:t>
      </w:r>
      <w:r w:rsidR="00C04839">
        <w:rPr>
          <w:rFonts w:ascii="Arial" w:hAnsi="Arial" w:cs="Arial"/>
          <w:sz w:val="20"/>
          <w:szCs w:val="20"/>
        </w:rPr>
        <w:t xml:space="preserve">having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CB45F5">
        <w:rPr>
          <w:rFonts w:ascii="Arial" w:hAnsi="Arial" w:cs="Arial"/>
          <w:b/>
          <w:sz w:val="20"/>
          <w:szCs w:val="20"/>
        </w:rPr>
        <w:t>&lt;insert name of your organization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9" w14:textId="2EF9462F" w:rsidR="006A47E7" w:rsidRPr="00D67BA0" w:rsidRDefault="006A47E7" w:rsidP="006A47E7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  <w:bookmarkStart w:id="1" w:name="_GoBack"/>
      <w:bookmarkEnd w:id="1"/>
    </w:p>
    <w:p w14:paraId="56BF919C" w14:textId="77777777" w:rsidR="00E82163" w:rsidRDefault="00E82163"/>
    <w:sectPr w:rsidR="00E82163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76D68"/>
    <w:multiLevelType w:val="multilevel"/>
    <w:tmpl w:val="F90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6852"/>
    <w:rsid w:val="00051313"/>
    <w:rsid w:val="000515A4"/>
    <w:rsid w:val="00095301"/>
    <w:rsid w:val="000C24B1"/>
    <w:rsid w:val="000D3AF6"/>
    <w:rsid w:val="001609F4"/>
    <w:rsid w:val="00162B6F"/>
    <w:rsid w:val="001672D1"/>
    <w:rsid w:val="00172A1B"/>
    <w:rsid w:val="00195372"/>
    <w:rsid w:val="001A72F9"/>
    <w:rsid w:val="001B16E4"/>
    <w:rsid w:val="001F2907"/>
    <w:rsid w:val="001F50C7"/>
    <w:rsid w:val="00200F97"/>
    <w:rsid w:val="00211653"/>
    <w:rsid w:val="00224A4F"/>
    <w:rsid w:val="00233557"/>
    <w:rsid w:val="00251138"/>
    <w:rsid w:val="002766C1"/>
    <w:rsid w:val="002A4249"/>
    <w:rsid w:val="002B17E4"/>
    <w:rsid w:val="002D7BDC"/>
    <w:rsid w:val="0031036E"/>
    <w:rsid w:val="00316C84"/>
    <w:rsid w:val="0032231E"/>
    <w:rsid w:val="003445E9"/>
    <w:rsid w:val="003514BA"/>
    <w:rsid w:val="003602D3"/>
    <w:rsid w:val="00380A70"/>
    <w:rsid w:val="003954EB"/>
    <w:rsid w:val="003A3AC4"/>
    <w:rsid w:val="003C3846"/>
    <w:rsid w:val="003E7285"/>
    <w:rsid w:val="003E7636"/>
    <w:rsid w:val="003F47E8"/>
    <w:rsid w:val="0044090D"/>
    <w:rsid w:val="004478D5"/>
    <w:rsid w:val="00492321"/>
    <w:rsid w:val="004D238C"/>
    <w:rsid w:val="004E48C8"/>
    <w:rsid w:val="004E5015"/>
    <w:rsid w:val="004F162F"/>
    <w:rsid w:val="004F75F4"/>
    <w:rsid w:val="00502006"/>
    <w:rsid w:val="005058FF"/>
    <w:rsid w:val="00511FA2"/>
    <w:rsid w:val="00521323"/>
    <w:rsid w:val="00524D1F"/>
    <w:rsid w:val="005267D5"/>
    <w:rsid w:val="00545A03"/>
    <w:rsid w:val="00550FE4"/>
    <w:rsid w:val="00595F27"/>
    <w:rsid w:val="005B4148"/>
    <w:rsid w:val="005B7A8E"/>
    <w:rsid w:val="005D7BF9"/>
    <w:rsid w:val="005E59BC"/>
    <w:rsid w:val="00610D8F"/>
    <w:rsid w:val="00610FB2"/>
    <w:rsid w:val="006127BB"/>
    <w:rsid w:val="00621C44"/>
    <w:rsid w:val="006421C8"/>
    <w:rsid w:val="00685A7D"/>
    <w:rsid w:val="00692E85"/>
    <w:rsid w:val="006A47E7"/>
    <w:rsid w:val="006B0234"/>
    <w:rsid w:val="006B6396"/>
    <w:rsid w:val="006C40AB"/>
    <w:rsid w:val="006D368C"/>
    <w:rsid w:val="00710B14"/>
    <w:rsid w:val="007205EF"/>
    <w:rsid w:val="00721C10"/>
    <w:rsid w:val="0073566B"/>
    <w:rsid w:val="0074639E"/>
    <w:rsid w:val="00752FA5"/>
    <w:rsid w:val="0075647C"/>
    <w:rsid w:val="007A01AF"/>
    <w:rsid w:val="007B3CCC"/>
    <w:rsid w:val="007D5848"/>
    <w:rsid w:val="007F1DA4"/>
    <w:rsid w:val="00856CB2"/>
    <w:rsid w:val="008A4E50"/>
    <w:rsid w:val="00905A28"/>
    <w:rsid w:val="00913DCB"/>
    <w:rsid w:val="00916B3C"/>
    <w:rsid w:val="009333ED"/>
    <w:rsid w:val="00957458"/>
    <w:rsid w:val="00957B88"/>
    <w:rsid w:val="00980F7A"/>
    <w:rsid w:val="0098207F"/>
    <w:rsid w:val="0098522C"/>
    <w:rsid w:val="00986411"/>
    <w:rsid w:val="00986503"/>
    <w:rsid w:val="00997A65"/>
    <w:rsid w:val="009A3659"/>
    <w:rsid w:val="009B201F"/>
    <w:rsid w:val="009E1BFB"/>
    <w:rsid w:val="009F1795"/>
    <w:rsid w:val="009F5AEB"/>
    <w:rsid w:val="009F7C82"/>
    <w:rsid w:val="009F7FF2"/>
    <w:rsid w:val="00A04E1B"/>
    <w:rsid w:val="00A078C7"/>
    <w:rsid w:val="00A2476D"/>
    <w:rsid w:val="00A30326"/>
    <w:rsid w:val="00A309AA"/>
    <w:rsid w:val="00A30C18"/>
    <w:rsid w:val="00A568BC"/>
    <w:rsid w:val="00A81119"/>
    <w:rsid w:val="00A82243"/>
    <w:rsid w:val="00A945EF"/>
    <w:rsid w:val="00AB5B14"/>
    <w:rsid w:val="00AB6159"/>
    <w:rsid w:val="00AB674F"/>
    <w:rsid w:val="00AC1BE2"/>
    <w:rsid w:val="00AD6E65"/>
    <w:rsid w:val="00AD777C"/>
    <w:rsid w:val="00AF5A23"/>
    <w:rsid w:val="00B02F6E"/>
    <w:rsid w:val="00B13878"/>
    <w:rsid w:val="00B209FD"/>
    <w:rsid w:val="00B60103"/>
    <w:rsid w:val="00B635B6"/>
    <w:rsid w:val="00B7211C"/>
    <w:rsid w:val="00BA103D"/>
    <w:rsid w:val="00BA10E7"/>
    <w:rsid w:val="00BB64F3"/>
    <w:rsid w:val="00BE446E"/>
    <w:rsid w:val="00C04839"/>
    <w:rsid w:val="00C267EF"/>
    <w:rsid w:val="00C63CFD"/>
    <w:rsid w:val="00CA3D34"/>
    <w:rsid w:val="00CB1403"/>
    <w:rsid w:val="00D032F0"/>
    <w:rsid w:val="00D3068B"/>
    <w:rsid w:val="00D41F0A"/>
    <w:rsid w:val="00D43F23"/>
    <w:rsid w:val="00D54A7D"/>
    <w:rsid w:val="00D55C74"/>
    <w:rsid w:val="00D8090C"/>
    <w:rsid w:val="00D90C6A"/>
    <w:rsid w:val="00DA53C2"/>
    <w:rsid w:val="00DB598E"/>
    <w:rsid w:val="00DC5654"/>
    <w:rsid w:val="00DC7FC4"/>
    <w:rsid w:val="00DD39EF"/>
    <w:rsid w:val="00E10D92"/>
    <w:rsid w:val="00E636D8"/>
    <w:rsid w:val="00E76FDE"/>
    <w:rsid w:val="00E82163"/>
    <w:rsid w:val="00EC25C1"/>
    <w:rsid w:val="00ED109A"/>
    <w:rsid w:val="00ED1ACB"/>
    <w:rsid w:val="00ED3454"/>
    <w:rsid w:val="00ED4D94"/>
    <w:rsid w:val="00F15CFA"/>
    <w:rsid w:val="00F41E70"/>
    <w:rsid w:val="00F86EF1"/>
    <w:rsid w:val="00FB36BE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3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321"/>
    <w:rPr>
      <w:b/>
      <w:bCs/>
    </w:rPr>
  </w:style>
  <w:style w:type="table" w:styleId="TableGrid">
    <w:name w:val="Table Grid"/>
    <w:basedOn w:val="TableNormal"/>
    <w:uiPriority w:val="59"/>
    <w:rsid w:val="00FF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00F9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IA Document" ma:contentTypeID="0x0101007EDFF2051E4E304A84E61DD9B9CEA93D003CDCEE7519186C478F6D897AFD8C7AD3" ma:contentTypeVersion="3" ma:contentTypeDescription="Create a new document." ma:contentTypeScope="" ma:versionID="0d9c07efb4a2c17b3eb6deb3163e2ec0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7818578f49f123a8b5ef852e6b34b0fa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Year xmlns="d9d0f46b-f6a6-4db7-a277-b2edc3298236">30</Year>
    <Doc_x0020_Status xmlns="d9d0f46b-f6a6-4db7-a277-b2edc3298236">1</Doc_x0020_Status>
    <Retention_x0020_Schedule xmlns="d9d0f46b-f6a6-4db7-a277-b2edc3298236">9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E22CD-9D87-435C-9CC6-546027C6D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3EC0B3B-FF76-432D-81EE-39321D6676E1}">
  <ds:schemaRefs>
    <ds:schemaRef ds:uri="http://schemas.microsoft.com/office/2006/metadata/properties"/>
    <ds:schemaRef ds:uri="d9d0f46b-f6a6-4db7-a277-b2edc3298236"/>
  </ds:schemaRefs>
</ds:datastoreItem>
</file>

<file path=customXml/itemProps3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5D46CA-1285-4CEE-BE80-B601AB34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Theresa Keeny</cp:lastModifiedBy>
  <cp:revision>2</cp:revision>
  <cp:lastPrinted>2014-09-25T16:10:00Z</cp:lastPrinted>
  <dcterms:created xsi:type="dcterms:W3CDTF">2020-06-05T15:46:00Z</dcterms:created>
  <dcterms:modified xsi:type="dcterms:W3CDTF">2020-06-05T15:46:00Z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0x0101007EDFF2051E4E304A84E61DD9B9CEA93D003CDCEE7519186C478F6D897AFD8C7AD3</vt:lpwstr>
  </property>
  <property fmtid="{D5CDD505-2E9C-101B-9397-08002B2CF9AE}" pid="3" name="Meeting Code">
    <vt:lpwstr>2062</vt:lpwstr>
  </property>
</Properties>
</file>