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7848EC15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DIA </w:t>
      </w:r>
      <w:r w:rsidR="002D13E1">
        <w:rPr>
          <w:rFonts w:ascii="Arial" w:eastAsia="Times New Roman" w:hAnsi="Arial" w:cs="Arial"/>
          <w:b/>
          <w:sz w:val="20"/>
          <w:szCs w:val="20"/>
          <w:lang w:val="en"/>
        </w:rPr>
        <w:t xml:space="preserve">Europe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20</w:t>
      </w:r>
      <w:r w:rsidR="00A078C7">
        <w:rPr>
          <w:rFonts w:ascii="Arial" w:eastAsia="Times New Roman" w:hAnsi="Arial" w:cs="Arial"/>
          <w:b/>
          <w:sz w:val="20"/>
          <w:szCs w:val="20"/>
          <w:lang w:val="en"/>
        </w:rPr>
        <w:t>20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, how </w:t>
      </w:r>
      <w:r w:rsidR="00DA5AD5">
        <w:rPr>
          <w:rFonts w:ascii="Arial" w:eastAsia="Times New Roman" w:hAnsi="Arial" w:cs="Arial"/>
          <w:b/>
          <w:sz w:val="20"/>
          <w:szCs w:val="20"/>
          <w:lang w:val="en"/>
        </w:rPr>
        <w:t>it</w:t>
      </w:r>
      <w:r w:rsidR="00DA5AD5"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8336A4">
        <w:rPr>
          <w:rFonts w:ascii="Arial" w:eastAsia="Times New Roman" w:hAnsi="Arial" w:cs="Arial"/>
          <w:b/>
          <w:sz w:val="20"/>
          <w:szCs w:val="20"/>
          <w:lang w:val="en"/>
        </w:rPr>
        <w:t>will better equip you as an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employee, and help advance your organization.</w:t>
      </w:r>
    </w:p>
    <w:p w14:paraId="56BF9160" w14:textId="2FDD675F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</w:t>
      </w:r>
      <w:r w:rsidR="008336A4">
        <w:rPr>
          <w:rFonts w:ascii="Arial" w:eastAsia="Times New Roman" w:hAnsi="Arial" w:cs="Arial"/>
          <w:b/>
          <w:sz w:val="20"/>
          <w:szCs w:val="20"/>
          <w:lang w:val="en"/>
        </w:rPr>
        <w:t>r—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and your organization's</w:t>
      </w:r>
      <w:r w:rsidR="008336A4">
        <w:rPr>
          <w:rFonts w:ascii="Arial" w:eastAsia="Times New Roman" w:hAnsi="Arial" w:cs="Arial"/>
          <w:b/>
          <w:sz w:val="20"/>
          <w:szCs w:val="20"/>
          <w:lang w:val="en"/>
        </w:rPr>
        <w:t>—</w:t>
      </w:r>
      <w:proofErr w:type="gramStart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particular needs</w:t>
      </w:r>
      <w:proofErr w:type="gramEnd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4624C15D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</w:t>
      </w:r>
      <w:r w:rsidR="00986411">
        <w:rPr>
          <w:rFonts w:ascii="Arial" w:hAnsi="Arial" w:cs="Arial"/>
          <w:sz w:val="20"/>
          <w:szCs w:val="20"/>
        </w:rPr>
        <w:t>DIA</w:t>
      </w:r>
      <w:r w:rsidR="002D13E1">
        <w:rPr>
          <w:rFonts w:ascii="Arial" w:hAnsi="Arial" w:cs="Arial"/>
          <w:sz w:val="20"/>
          <w:szCs w:val="20"/>
        </w:rPr>
        <w:t xml:space="preserve"> Europe</w:t>
      </w:r>
      <w:r w:rsidR="00986411">
        <w:rPr>
          <w:rFonts w:ascii="Arial" w:hAnsi="Arial" w:cs="Arial"/>
          <w:sz w:val="20"/>
          <w:szCs w:val="20"/>
        </w:rPr>
        <w:t xml:space="preserve"> 20</w:t>
      </w:r>
      <w:r w:rsidR="00A078C7">
        <w:rPr>
          <w:rFonts w:ascii="Arial" w:hAnsi="Arial" w:cs="Arial"/>
          <w:sz w:val="20"/>
          <w:szCs w:val="20"/>
        </w:rPr>
        <w:t>20</w:t>
      </w:r>
      <w:r w:rsidR="00913DCB">
        <w:rPr>
          <w:rFonts w:ascii="Arial" w:hAnsi="Arial" w:cs="Arial"/>
          <w:sz w:val="20"/>
          <w:szCs w:val="20"/>
        </w:rPr>
        <w:t xml:space="preserve">, </w:t>
      </w:r>
      <w:r w:rsidR="002D13E1">
        <w:rPr>
          <w:rFonts w:ascii="Arial" w:hAnsi="Arial" w:cs="Arial"/>
          <w:sz w:val="20"/>
          <w:szCs w:val="20"/>
        </w:rPr>
        <w:t>March 17 – 19</w:t>
      </w:r>
      <w:r w:rsidR="00595F27">
        <w:rPr>
          <w:rFonts w:ascii="Arial" w:hAnsi="Arial" w:cs="Arial"/>
          <w:sz w:val="20"/>
          <w:szCs w:val="20"/>
        </w:rPr>
        <w:t xml:space="preserve">, </w:t>
      </w:r>
      <w:r w:rsidR="008336A4">
        <w:rPr>
          <w:rFonts w:ascii="Arial" w:hAnsi="Arial" w:cs="Arial"/>
          <w:sz w:val="20"/>
          <w:szCs w:val="20"/>
        </w:rPr>
        <w:t xml:space="preserve">in </w:t>
      </w:r>
      <w:r w:rsidR="002D13E1">
        <w:rPr>
          <w:rFonts w:ascii="Arial" w:hAnsi="Arial" w:cs="Arial"/>
          <w:sz w:val="20"/>
          <w:szCs w:val="20"/>
        </w:rPr>
        <w:t>Brussels</w:t>
      </w:r>
      <w:r w:rsidR="009A3659">
        <w:rPr>
          <w:rFonts w:ascii="Arial" w:hAnsi="Arial" w:cs="Arial"/>
          <w:sz w:val="20"/>
          <w:szCs w:val="20"/>
        </w:rPr>
        <w:t>.</w:t>
      </w:r>
    </w:p>
    <w:p w14:paraId="56BF9164" w14:textId="58FBAA72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9F7C82" w:rsidRPr="00BE446E">
        <w:rPr>
          <w:rFonts w:ascii="Arial" w:hAnsi="Arial" w:cs="Arial"/>
          <w:sz w:val="20"/>
          <w:szCs w:val="20"/>
        </w:rPr>
        <w:t>meeting</w:t>
      </w:r>
      <w:r w:rsidR="00BE446E" w:rsidRPr="00BE446E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life sciences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 and across all disciplines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, 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foster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innovation that will lead to the development of safe and effective medical products and therapies to patients.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DIA</w:t>
      </w:r>
      <w:r w:rsidR="002D13E1">
        <w:rPr>
          <w:rFonts w:ascii="Arial" w:hAnsi="Arial" w:cs="Arial"/>
          <w:color w:val="353535"/>
          <w:sz w:val="20"/>
          <w:szCs w:val="20"/>
          <w:lang w:val="en"/>
        </w:rPr>
        <w:t xml:space="preserve"> Europe </w:t>
      </w:r>
      <w:r w:rsidR="00251138">
        <w:rPr>
          <w:rFonts w:ascii="Arial" w:hAnsi="Arial" w:cs="Arial"/>
          <w:color w:val="353535"/>
          <w:sz w:val="20"/>
          <w:szCs w:val="20"/>
          <w:lang w:val="en"/>
        </w:rPr>
        <w:t>20</w:t>
      </w:r>
      <w:r w:rsidR="00A078C7">
        <w:rPr>
          <w:rFonts w:ascii="Arial" w:hAnsi="Arial" w:cs="Arial"/>
          <w:color w:val="353535"/>
          <w:sz w:val="20"/>
          <w:szCs w:val="20"/>
          <w:lang w:val="en"/>
        </w:rPr>
        <w:t xml:space="preserve">20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</w:t>
      </w:r>
      <w:r w:rsidR="008336A4">
        <w:rPr>
          <w:rFonts w:ascii="Arial" w:hAnsi="Arial" w:cs="Arial"/>
          <w:color w:val="353535"/>
          <w:sz w:val="20"/>
          <w:szCs w:val="20"/>
          <w:lang w:val="en"/>
        </w:rPr>
        <w:t>, fruitful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relationships.</w:t>
      </w:r>
    </w:p>
    <w:p w14:paraId="56BF9165" w14:textId="0E44316D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An anticipated </w:t>
      </w:r>
      <w:r w:rsidR="008336A4">
        <w:rPr>
          <w:rFonts w:ascii="Arial" w:eastAsia="Times New Roman" w:hAnsi="Arial" w:cs="Arial"/>
          <w:sz w:val="20"/>
          <w:szCs w:val="20"/>
        </w:rPr>
        <w:t>1</w:t>
      </w:r>
      <w:r w:rsidR="009F7C82">
        <w:rPr>
          <w:rFonts w:ascii="Arial" w:eastAsia="Times New Roman" w:hAnsi="Arial" w:cs="Arial"/>
          <w:sz w:val="20"/>
          <w:szCs w:val="20"/>
        </w:rPr>
        <w:t>,</w:t>
      </w:r>
      <w:r w:rsidR="008336A4">
        <w:rPr>
          <w:rFonts w:ascii="Arial" w:eastAsia="Times New Roman" w:hAnsi="Arial" w:cs="Arial"/>
          <w:sz w:val="20"/>
          <w:szCs w:val="20"/>
        </w:rPr>
        <w:t>5</w:t>
      </w:r>
      <w:r w:rsidR="008336A4" w:rsidRPr="001B17F7">
        <w:rPr>
          <w:rFonts w:ascii="Arial" w:eastAsia="Times New Roman" w:hAnsi="Arial" w:cs="Arial"/>
          <w:sz w:val="20"/>
          <w:szCs w:val="20"/>
        </w:rPr>
        <w:t>00</w:t>
      </w:r>
      <w:r w:rsidR="00251138">
        <w:rPr>
          <w:rFonts w:ascii="Arial" w:eastAsia="Times New Roman" w:hAnsi="Arial" w:cs="Arial"/>
          <w:sz w:val="20"/>
          <w:szCs w:val="20"/>
        </w:rPr>
        <w:t>+</w:t>
      </w:r>
      <w:r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8336A4">
        <w:rPr>
          <w:rFonts w:ascii="Arial" w:eastAsia="Times New Roman" w:hAnsi="Arial" w:cs="Arial"/>
          <w:sz w:val="20"/>
          <w:szCs w:val="20"/>
        </w:rPr>
        <w:t>Regulatory Agency representatives, I</w:t>
      </w:r>
      <w:r w:rsidRPr="001B17F7">
        <w:rPr>
          <w:rFonts w:ascii="Arial" w:eastAsia="Times New Roman" w:hAnsi="Arial" w:cs="Arial"/>
          <w:sz w:val="20"/>
          <w:szCs w:val="20"/>
        </w:rPr>
        <w:t xml:space="preserve">ndustry professionals, </w:t>
      </w:r>
      <w:r w:rsidR="008336A4">
        <w:rPr>
          <w:rFonts w:ascii="Arial" w:eastAsia="Times New Roman" w:hAnsi="Arial" w:cs="Arial"/>
          <w:sz w:val="20"/>
          <w:szCs w:val="20"/>
        </w:rPr>
        <w:t>C</w:t>
      </w:r>
      <w:r w:rsidRPr="001B17F7">
        <w:rPr>
          <w:rFonts w:ascii="Arial" w:eastAsia="Times New Roman" w:hAnsi="Arial" w:cs="Arial"/>
          <w:sz w:val="20"/>
          <w:szCs w:val="20"/>
        </w:rPr>
        <w:t xml:space="preserve">linicians, </w:t>
      </w:r>
      <w:r w:rsidR="008336A4">
        <w:rPr>
          <w:rFonts w:ascii="Arial" w:eastAsia="Times New Roman" w:hAnsi="Arial" w:cs="Arial"/>
          <w:sz w:val="20"/>
          <w:szCs w:val="20"/>
        </w:rPr>
        <w:t>and P</w:t>
      </w:r>
      <w:r w:rsidR="008336A4" w:rsidRPr="001B17F7">
        <w:rPr>
          <w:rFonts w:ascii="Arial" w:eastAsia="Times New Roman" w:hAnsi="Arial" w:cs="Arial"/>
          <w:sz w:val="20"/>
          <w:szCs w:val="20"/>
        </w:rPr>
        <w:t xml:space="preserve">atient </w:t>
      </w:r>
      <w:r w:rsidRPr="001B17F7">
        <w:rPr>
          <w:rFonts w:ascii="Arial" w:eastAsia="Times New Roman" w:hAnsi="Arial" w:cs="Arial"/>
          <w:sz w:val="20"/>
          <w:szCs w:val="20"/>
        </w:rPr>
        <w:t>representatives</w:t>
      </w:r>
      <w:r w:rsidR="008336A4">
        <w:rPr>
          <w:rFonts w:ascii="Arial" w:eastAsia="Times New Roman" w:hAnsi="Arial" w:cs="Arial"/>
          <w:sz w:val="20"/>
          <w:szCs w:val="20"/>
        </w:rPr>
        <w:t xml:space="preserve"> f</w:t>
      </w:r>
      <w:r w:rsidR="00595F27">
        <w:rPr>
          <w:rFonts w:ascii="Arial" w:eastAsia="Times New Roman" w:hAnsi="Arial" w:cs="Arial"/>
          <w:sz w:val="20"/>
          <w:szCs w:val="20"/>
        </w:rPr>
        <w:t xml:space="preserve">rom </w:t>
      </w:r>
      <w:r w:rsidR="00251138">
        <w:rPr>
          <w:rFonts w:ascii="Arial" w:eastAsia="Times New Roman" w:hAnsi="Arial" w:cs="Arial"/>
          <w:sz w:val="20"/>
          <w:szCs w:val="20"/>
        </w:rPr>
        <w:t>more than 50 countries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Pr="001B17F7">
        <w:rPr>
          <w:rFonts w:ascii="Arial" w:eastAsia="Times New Roman" w:hAnsi="Arial" w:cs="Arial"/>
          <w:sz w:val="20"/>
          <w:szCs w:val="20"/>
        </w:rPr>
        <w:t xml:space="preserve">event. In addition, I will </w:t>
      </w:r>
      <w:r w:rsidR="00752FA5">
        <w:rPr>
          <w:rFonts w:ascii="Arial" w:eastAsia="Times New Roman" w:hAnsi="Arial" w:cs="Arial"/>
          <w:sz w:val="20"/>
          <w:szCs w:val="20"/>
        </w:rPr>
        <w:t>have access to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06852">
        <w:rPr>
          <w:rFonts w:ascii="Arial" w:eastAsia="Times New Roman" w:hAnsi="Arial" w:cs="Arial"/>
          <w:sz w:val="20"/>
          <w:szCs w:val="20"/>
        </w:rPr>
        <w:t>the</w:t>
      </w:r>
      <w:r w:rsidRPr="001B17F7">
        <w:rPr>
          <w:rFonts w:ascii="Arial" w:eastAsia="Times New Roman" w:hAnsi="Arial" w:cs="Arial"/>
          <w:sz w:val="20"/>
          <w:szCs w:val="20"/>
        </w:rPr>
        <w:t xml:space="preserve"> exhibit hall </w:t>
      </w:r>
      <w:r w:rsidR="00006852">
        <w:rPr>
          <w:rFonts w:ascii="Arial" w:eastAsia="Times New Roman" w:hAnsi="Arial" w:cs="Arial"/>
          <w:sz w:val="20"/>
          <w:szCs w:val="20"/>
        </w:rPr>
        <w:t xml:space="preserve">featuring more than </w:t>
      </w:r>
      <w:r w:rsidR="002D13E1">
        <w:rPr>
          <w:rFonts w:ascii="Arial" w:eastAsia="Times New Roman" w:hAnsi="Arial" w:cs="Arial"/>
          <w:sz w:val="20"/>
          <w:szCs w:val="20"/>
        </w:rPr>
        <w:t>100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9F7C82">
        <w:rPr>
          <w:rFonts w:ascii="Arial" w:eastAsia="Times New Roman" w:hAnsi="Arial" w:cs="Arial"/>
          <w:sz w:val="20"/>
          <w:szCs w:val="20"/>
        </w:rPr>
        <w:t>companies</w:t>
      </w:r>
      <w:r w:rsidR="008336A4">
        <w:rPr>
          <w:rFonts w:ascii="Arial" w:eastAsia="Times New Roman" w:hAnsi="Arial" w:cs="Arial"/>
          <w:sz w:val="20"/>
          <w:szCs w:val="20"/>
        </w:rPr>
        <w:t xml:space="preserve"> and vendors of potential interest to us.</w:t>
      </w:r>
    </w:p>
    <w:p w14:paraId="30F3F371" w14:textId="6928EBA7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752FA5">
        <w:rPr>
          <w:rFonts w:ascii="Arial" w:eastAsia="Times New Roman" w:hAnsi="Arial" w:cs="Arial"/>
          <w:sz w:val="20"/>
          <w:szCs w:val="20"/>
        </w:rPr>
        <w:t>meeting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1B17F7">
        <w:rPr>
          <w:rFonts w:ascii="Arial" w:eastAsia="Times New Roman" w:hAnsi="Arial" w:cs="Arial"/>
          <w:sz w:val="20"/>
          <w:szCs w:val="20"/>
        </w:rPr>
        <w:t>a number of</w:t>
      </w:r>
      <w:proofErr w:type="gramEnd"/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drug development </w:t>
      </w:r>
      <w:r w:rsidRPr="001B17F7">
        <w:rPr>
          <w:rFonts w:ascii="Arial" w:eastAsia="Times New Roman" w:hAnsi="Arial" w:cs="Arial"/>
          <w:sz w:val="20"/>
          <w:szCs w:val="20"/>
        </w:rPr>
        <w:t>from around the world.</w:t>
      </w:r>
    </w:p>
    <w:p w14:paraId="40893E2F" w14:textId="77777777" w:rsidR="00550FE4" w:rsidRDefault="00550FE4" w:rsidP="006A47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28EB02" w14:textId="77777777" w:rsidR="002D13E1" w:rsidRPr="001E3652" w:rsidRDefault="002D13E1" w:rsidP="002D13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" w:eastAsia="en-CH"/>
        </w:rPr>
      </w:pPr>
      <w:r w:rsidRPr="001E3652">
        <w:rPr>
          <w:rFonts w:ascii="Arial" w:eastAsia="Times New Roman" w:hAnsi="Arial" w:cs="Arial"/>
          <w:color w:val="000000"/>
          <w:sz w:val="20"/>
          <w:szCs w:val="20"/>
          <w:lang w:val="en" w:eastAsia="en-CH"/>
        </w:rPr>
        <w:t xml:space="preserve">This meeting is </w:t>
      </w:r>
      <w:proofErr w:type="spellStart"/>
      <w:r w:rsidRPr="001E3652">
        <w:rPr>
          <w:rFonts w:ascii="Arial" w:eastAsia="Times New Roman" w:hAnsi="Arial" w:cs="Arial"/>
          <w:color w:val="000000"/>
          <w:sz w:val="20"/>
          <w:szCs w:val="20"/>
          <w:lang w:val="en" w:eastAsia="en-CH"/>
        </w:rPr>
        <w:t>recognised</w:t>
      </w:r>
      <w:proofErr w:type="spellEnd"/>
      <w:r w:rsidRPr="001E3652">
        <w:rPr>
          <w:rFonts w:ascii="Arial" w:eastAsia="Times New Roman" w:hAnsi="Arial" w:cs="Arial"/>
          <w:color w:val="000000"/>
          <w:sz w:val="20"/>
          <w:szCs w:val="20"/>
          <w:lang w:val="en" w:eastAsia="en-CH"/>
        </w:rPr>
        <w:t xml:space="preserve"> with Continuing Professional Development (CPD) credits from the Faculty of Pharmaceutical Medicine of the Royal College of Physicians of the United Kingdom, the </w:t>
      </w:r>
      <w:proofErr w:type="spellStart"/>
      <w:r w:rsidRPr="001E3652">
        <w:rPr>
          <w:rFonts w:ascii="Arial" w:eastAsia="Times New Roman" w:hAnsi="Arial" w:cs="Arial"/>
          <w:color w:val="000000"/>
          <w:sz w:val="20"/>
          <w:szCs w:val="20"/>
          <w:lang w:val="en" w:eastAsia="en-CH"/>
        </w:rPr>
        <w:t>SwAPP</w:t>
      </w:r>
      <w:proofErr w:type="spellEnd"/>
      <w:r w:rsidRPr="001E3652">
        <w:rPr>
          <w:rFonts w:ascii="Arial" w:eastAsia="Times New Roman" w:hAnsi="Arial" w:cs="Arial"/>
          <w:color w:val="000000"/>
          <w:sz w:val="20"/>
          <w:szCs w:val="20"/>
          <w:lang w:val="en" w:eastAsia="en-CH"/>
        </w:rPr>
        <w:t xml:space="preserve"> (Swiss Association of Pharmaceutical Professionals) Commission for Professional Development (CPD) and SGPM (Swiss Society of Pharmaceutical Medicine). </w:t>
      </w:r>
    </w:p>
    <w:p w14:paraId="56BF9166" w14:textId="7C555DA5" w:rsidR="006A47E7" w:rsidRPr="0000116F" w:rsidRDefault="00C04839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 xml:space="preserve">There </w:t>
      </w:r>
      <w:r w:rsidR="00F82D0D">
        <w:rPr>
          <w:rFonts w:ascii="Arial" w:hAnsi="Arial" w:cs="Arial"/>
          <w:sz w:val="20"/>
          <w:szCs w:val="20"/>
        </w:rPr>
        <w:t>will be</w:t>
      </w:r>
      <w:r w:rsidR="00F82D0D" w:rsidRPr="0000116F">
        <w:rPr>
          <w:rFonts w:ascii="Arial" w:hAnsi="Arial" w:cs="Arial"/>
          <w:sz w:val="20"/>
          <w:szCs w:val="20"/>
        </w:rPr>
        <w:t xml:space="preserve"> </w:t>
      </w:r>
      <w:r w:rsidR="00F82D0D">
        <w:rPr>
          <w:rFonts w:ascii="Arial" w:hAnsi="Arial" w:cs="Arial"/>
          <w:sz w:val="20"/>
          <w:szCs w:val="20"/>
        </w:rPr>
        <w:t>6</w:t>
      </w:r>
      <w:r w:rsidR="00251138">
        <w:rPr>
          <w:rFonts w:ascii="Arial" w:hAnsi="Arial" w:cs="Arial"/>
          <w:sz w:val="20"/>
          <w:szCs w:val="20"/>
        </w:rPr>
        <w:t>0</w:t>
      </w:r>
      <w:r w:rsidR="0000116F" w:rsidRPr="0000116F">
        <w:rPr>
          <w:rFonts w:ascii="Arial" w:hAnsi="Arial" w:cs="Arial"/>
          <w:sz w:val="20"/>
          <w:szCs w:val="20"/>
        </w:rPr>
        <w:t>+</w:t>
      </w:r>
      <w:r w:rsidR="006A47E7" w:rsidRPr="0000116F">
        <w:rPr>
          <w:rFonts w:ascii="Arial" w:hAnsi="Arial" w:cs="Arial"/>
          <w:sz w:val="20"/>
          <w:szCs w:val="20"/>
        </w:rPr>
        <w:t xml:space="preserve"> sessio</w:t>
      </w:r>
      <w:r w:rsidRPr="0000116F">
        <w:rPr>
          <w:rFonts w:ascii="Arial" w:hAnsi="Arial" w:cs="Arial"/>
          <w:sz w:val="20"/>
          <w:szCs w:val="20"/>
        </w:rPr>
        <w:t xml:space="preserve">ns and poster presentations </w:t>
      </w:r>
      <w:r w:rsidR="006A47E7" w:rsidRPr="0000116F">
        <w:rPr>
          <w:rFonts w:ascii="Arial" w:hAnsi="Arial" w:cs="Arial"/>
          <w:sz w:val="20"/>
          <w:szCs w:val="20"/>
        </w:rPr>
        <w:t xml:space="preserve">planned </w:t>
      </w:r>
      <w:r w:rsidRPr="0000116F">
        <w:rPr>
          <w:rFonts w:ascii="Arial" w:hAnsi="Arial" w:cs="Arial"/>
          <w:sz w:val="20"/>
          <w:szCs w:val="20"/>
        </w:rPr>
        <w:t>across</w:t>
      </w:r>
      <w:r w:rsidR="006A47E7" w:rsidRPr="0000116F">
        <w:rPr>
          <w:rFonts w:ascii="Arial" w:hAnsi="Arial" w:cs="Arial"/>
          <w:sz w:val="20"/>
          <w:szCs w:val="20"/>
        </w:rPr>
        <w:t xml:space="preserve"> </w:t>
      </w:r>
      <w:r w:rsidR="0000116F">
        <w:rPr>
          <w:rFonts w:ascii="Arial" w:hAnsi="Arial" w:cs="Arial"/>
          <w:sz w:val="20"/>
          <w:szCs w:val="20"/>
        </w:rPr>
        <w:t>1</w:t>
      </w:r>
      <w:r w:rsidR="00251138">
        <w:rPr>
          <w:rFonts w:ascii="Arial" w:hAnsi="Arial" w:cs="Arial"/>
          <w:sz w:val="20"/>
          <w:szCs w:val="20"/>
        </w:rPr>
        <w:t>3</w:t>
      </w:r>
      <w:r w:rsidR="0000116F">
        <w:rPr>
          <w:rFonts w:ascii="Arial" w:hAnsi="Arial" w:cs="Arial"/>
          <w:sz w:val="20"/>
          <w:szCs w:val="20"/>
        </w:rPr>
        <w:t xml:space="preserve"> </w:t>
      </w:r>
      <w:r w:rsidR="00A078C7">
        <w:rPr>
          <w:rFonts w:ascii="Arial" w:hAnsi="Arial" w:cs="Arial"/>
          <w:sz w:val="20"/>
          <w:szCs w:val="20"/>
        </w:rPr>
        <w:t>tracks</w:t>
      </w:r>
      <w:r w:rsidR="006A47E7"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and numerous featured topics </w:t>
      </w:r>
      <w:r w:rsidR="006A47E7" w:rsidRPr="0000116F">
        <w:rPr>
          <w:rFonts w:ascii="Arial" w:hAnsi="Arial" w:cs="Arial"/>
          <w:sz w:val="20"/>
          <w:szCs w:val="20"/>
        </w:rPr>
        <w:t>ranging from</w:t>
      </w:r>
      <w:r w:rsidRPr="0000116F">
        <w:rPr>
          <w:rFonts w:ascii="Arial" w:hAnsi="Arial" w:cs="Arial"/>
          <w:sz w:val="20"/>
          <w:szCs w:val="20"/>
        </w:rPr>
        <w:t>:</w:t>
      </w:r>
      <w:r w:rsidR="006A47E7"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C327A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Safety and Pharmacovigilance</w:t>
      </w:r>
    </w:p>
    <w:p w14:paraId="18D4EB11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Trials and Clinical Operations</w:t>
      </w:r>
    </w:p>
    <w:p w14:paraId="3B4AA3E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Data and Data Standards</w:t>
      </w:r>
    </w:p>
    <w:p w14:paraId="397E754A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Medical Affairs and Scientific Communication</w:t>
      </w:r>
    </w:p>
    <w:p w14:paraId="43665D57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4917BB0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Preclinical Development and Early-Phase Clinical Research</w:t>
      </w:r>
    </w:p>
    <w:p w14:paraId="3F73C15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</w:t>
      </w:r>
    </w:p>
    <w:p w14:paraId="56CE02B9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 CMC and Product Quality</w:t>
      </w:r>
    </w:p>
    <w:p w14:paraId="4F0938C3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Value and Access</w:t>
      </w:r>
    </w:p>
    <w:p w14:paraId="56BF917B" w14:textId="2FD372B3" w:rsidR="006A47E7" w:rsidRPr="0000116F" w:rsidRDefault="0000116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Professional Development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3D0CFB11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meeting. The registration fee, travel expenses, and per diem are estimated below. </w:t>
      </w:r>
    </w:p>
    <w:p w14:paraId="3F242706" w14:textId="1072D3AA" w:rsidR="000B0584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="008336A4" w:rsidRPr="009A3659">
        <w:rPr>
          <w:rStyle w:val="Strong"/>
          <w:rFonts w:ascii="Arial" w:hAnsi="Arial" w:cs="Arial"/>
          <w:sz w:val="20"/>
          <w:szCs w:val="20"/>
        </w:rPr>
        <w:t>&lt;</w:t>
      </w:r>
      <w:r w:rsidR="008336A4">
        <w:rPr>
          <w:rStyle w:val="Strong"/>
          <w:rFonts w:ascii="Arial" w:hAnsi="Arial" w:cs="Arial"/>
          <w:sz w:val="20"/>
          <w:szCs w:val="20"/>
        </w:rPr>
        <w:t>€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="008336A4" w:rsidRPr="009A3659">
        <w:rPr>
          <w:rStyle w:val="Strong"/>
          <w:rFonts w:ascii="Arial" w:hAnsi="Arial" w:cs="Arial"/>
          <w:sz w:val="20"/>
          <w:szCs w:val="20"/>
        </w:rPr>
        <w:t>&lt;</w:t>
      </w:r>
      <w:r w:rsidR="008336A4">
        <w:rPr>
          <w:rStyle w:val="Strong"/>
          <w:rFonts w:ascii="Arial" w:hAnsi="Arial" w:cs="Arial"/>
          <w:sz w:val="20"/>
          <w:szCs w:val="20"/>
        </w:rPr>
        <w:t>€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  <w:t xml:space="preserve">Hotel: </w:t>
      </w:r>
      <w:r w:rsidR="008336A4" w:rsidRPr="009A3659">
        <w:rPr>
          <w:rStyle w:val="Strong"/>
          <w:rFonts w:ascii="Arial" w:hAnsi="Arial" w:cs="Arial"/>
          <w:sz w:val="20"/>
          <w:szCs w:val="20"/>
        </w:rPr>
        <w:t>&lt;</w:t>
      </w:r>
      <w:r w:rsidR="008336A4">
        <w:rPr>
          <w:rStyle w:val="Strong"/>
          <w:rFonts w:ascii="Arial" w:hAnsi="Arial" w:cs="Arial"/>
          <w:sz w:val="20"/>
          <w:szCs w:val="20"/>
        </w:rPr>
        <w:t>€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="00521323"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9A3659">
        <w:rPr>
          <w:rFonts w:ascii="Arial" w:hAnsi="Arial" w:cs="Arial"/>
          <w:sz w:val="20"/>
          <w:szCs w:val="20"/>
        </w:rPr>
        <w:t>Meals (continental breakfast and lunch are provided in the registration fee</w:t>
      </w:r>
      <w:r w:rsidR="007A01AF">
        <w:rPr>
          <w:rFonts w:ascii="Arial" w:hAnsi="Arial" w:cs="Arial"/>
          <w:sz w:val="20"/>
          <w:szCs w:val="20"/>
        </w:rPr>
        <w:t>)</w:t>
      </w:r>
      <w:r w:rsidR="007A01AF" w:rsidRPr="009A3659">
        <w:rPr>
          <w:rFonts w:ascii="Arial" w:hAnsi="Arial" w:cs="Arial"/>
          <w:sz w:val="20"/>
          <w:szCs w:val="20"/>
        </w:rPr>
        <w:t>:</w:t>
      </w:r>
      <w:r w:rsidRPr="009A3659">
        <w:rPr>
          <w:rFonts w:ascii="Arial" w:hAnsi="Arial" w:cs="Arial"/>
          <w:sz w:val="20"/>
          <w:szCs w:val="20"/>
        </w:rPr>
        <w:t xml:space="preserve"> </w:t>
      </w:r>
      <w:r w:rsidR="008336A4" w:rsidRPr="009A3659">
        <w:rPr>
          <w:rStyle w:val="Strong"/>
          <w:rFonts w:ascii="Arial" w:hAnsi="Arial" w:cs="Arial"/>
          <w:sz w:val="20"/>
          <w:szCs w:val="20"/>
        </w:rPr>
        <w:t>&lt;</w:t>
      </w:r>
      <w:r w:rsidR="008336A4">
        <w:rPr>
          <w:rStyle w:val="Strong"/>
          <w:rFonts w:ascii="Arial" w:hAnsi="Arial" w:cs="Arial"/>
          <w:sz w:val="20"/>
          <w:szCs w:val="20"/>
        </w:rPr>
        <w:t>€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8336A4">
        <w:rPr>
          <w:rStyle w:val="Strong"/>
          <w:rFonts w:ascii="Arial" w:hAnsi="Arial" w:cs="Arial"/>
          <w:sz w:val="20"/>
          <w:szCs w:val="20"/>
        </w:rPr>
        <w:t>€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202EC9E5" w:rsidR="00D90C6A" w:rsidRPr="001E3652" w:rsidRDefault="00D90C6A" w:rsidP="00AC1BE2">
      <w:pPr>
        <w:pStyle w:val="NormalWeb"/>
        <w:rPr>
          <w:color w:val="FF0000"/>
        </w:rPr>
      </w:pPr>
    </w:p>
    <w:tbl>
      <w:tblPr>
        <w:tblW w:w="0" w:type="auto"/>
        <w:tblBorders>
          <w:top w:val="single" w:sz="6" w:space="0" w:color="7D85B9"/>
          <w:left w:val="single" w:sz="6" w:space="0" w:color="7D85B9"/>
          <w:bottom w:val="single" w:sz="6" w:space="0" w:color="7D85B9"/>
          <w:right w:val="single" w:sz="6" w:space="0" w:color="7D85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1739"/>
        <w:gridCol w:w="1663"/>
        <w:tblGridChange w:id="0">
          <w:tblGrid>
            <w:gridCol w:w="5942"/>
            <w:gridCol w:w="1739"/>
            <w:gridCol w:w="1663"/>
          </w:tblGrid>
        </w:tblGridChange>
      </w:tblGrid>
      <w:tr w:rsidR="000B0584" w:rsidRPr="00502006" w14:paraId="61B3991B" w14:textId="77777777" w:rsidTr="001E3652">
        <w:tc>
          <w:tcPr>
            <w:tcW w:w="5942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shd w:val="clear" w:color="auto" w:fill="000000" w:themeFill="text1"/>
            <w:vAlign w:val="center"/>
          </w:tcPr>
          <w:p w14:paraId="0AF8E743" w14:textId="5CAEB83C" w:rsidR="000B0584" w:rsidDel="008336A4" w:rsidRDefault="000B0584" w:rsidP="009F1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7F7">
              <w:rPr>
                <w:rFonts w:ascii="Arial" w:eastAsia="Times New Roman" w:hAnsi="Arial" w:cs="Arial"/>
                <w:sz w:val="20"/>
                <w:szCs w:val="20"/>
              </w:rPr>
              <w:t>Registration Fees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(Early Bird Rates end 21/10/2019)</w:t>
            </w:r>
          </w:p>
        </w:tc>
        <w:tc>
          <w:tcPr>
            <w:tcW w:w="1739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shd w:val="clear" w:color="auto" w:fill="000000" w:themeFill="text1"/>
            <w:vAlign w:val="center"/>
          </w:tcPr>
          <w:p w14:paraId="09CCBC9A" w14:textId="1C6FDF2A" w:rsidR="000B0584" w:rsidDel="000B0584" w:rsidRDefault="000B0584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Member</w:t>
            </w:r>
          </w:p>
        </w:tc>
        <w:tc>
          <w:tcPr>
            <w:tcW w:w="1663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shd w:val="clear" w:color="auto" w:fill="000000" w:themeFill="text1"/>
          </w:tcPr>
          <w:p w14:paraId="0E6C0975" w14:textId="217169A6" w:rsidR="000B0584" w:rsidDel="000B0584" w:rsidRDefault="000B0584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Nonmember</w:t>
            </w:r>
          </w:p>
        </w:tc>
      </w:tr>
      <w:tr w:rsidR="000B0584" w:rsidRPr="00502006" w14:paraId="56BF9187" w14:textId="11254762" w:rsidTr="001E3652">
        <w:tc>
          <w:tcPr>
            <w:tcW w:w="5942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5" w14:textId="40186712" w:rsidR="000B0584" w:rsidRPr="00A81119" w:rsidRDefault="000B0584" w:rsidP="000B0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Industry (&amp; Industry representatives) – </w:t>
            </w:r>
            <w:r w:rsidRPr="001E365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Early Bird</w:t>
            </w:r>
          </w:p>
        </w:tc>
        <w:tc>
          <w:tcPr>
            <w:tcW w:w="1739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6" w14:textId="38483B1C" w:rsidR="000B0584" w:rsidRPr="00162B6F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€1,700</w:t>
            </w:r>
          </w:p>
        </w:tc>
        <w:tc>
          <w:tcPr>
            <w:tcW w:w="1663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5E30253C" w14:textId="309BC4D5" w:rsidR="000B0584" w:rsidDel="000B0584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€1,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B0584" w:rsidRPr="00502006" w14:paraId="56BF918A" w14:textId="78115632" w:rsidTr="001E3652">
        <w:tc>
          <w:tcPr>
            <w:tcW w:w="5942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8" w14:textId="2C908BAD" w:rsidR="000B0584" w:rsidRPr="00A81119" w:rsidRDefault="000B0584" w:rsidP="000B0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Industry (&amp; Industry representatives)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after 21/10</w:t>
            </w:r>
          </w:p>
        </w:tc>
        <w:tc>
          <w:tcPr>
            <w:tcW w:w="1739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9" w14:textId="1EDE3D07" w:rsidR="000B0584" w:rsidRPr="00162B6F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€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663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4C24AF7A" w14:textId="225C6892" w:rsidR="000B0584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€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365</w:t>
            </w:r>
          </w:p>
        </w:tc>
      </w:tr>
      <w:tr w:rsidR="000B0584" w:rsidRPr="00502006" w14:paraId="56BF918D" w14:textId="366CCA24" w:rsidTr="001E3652">
        <w:tc>
          <w:tcPr>
            <w:tcW w:w="5942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B" w14:textId="4BA8DB46" w:rsidR="000B0584" w:rsidRPr="00A81119" w:rsidRDefault="000B0584" w:rsidP="000B0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4">
              <w:rPr>
                <w:rFonts w:ascii="Arial" w:eastAsia="Times New Roman" w:hAnsi="Arial" w:cs="Arial"/>
                <w:sz w:val="20"/>
                <w:szCs w:val="20"/>
              </w:rPr>
              <w:t>HTA/ Payers/ Academia/ Government/ Regulator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 –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Early Bird</w:t>
            </w:r>
            <w:r w:rsidRPr="00A81119" w:rsidDel="000B05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hideMark/>
          </w:tcPr>
          <w:p w14:paraId="56BF918C" w14:textId="19FCAF19" w:rsidR="000B0584" w:rsidRPr="00162B6F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C6EA8">
              <w:rPr>
                <w:rFonts w:ascii="Arial" w:eastAsia="Times New Roman" w:hAnsi="Arial" w:cs="Arial"/>
                <w:sz w:val="20"/>
                <w:szCs w:val="20"/>
              </w:rPr>
              <w:t>€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663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</w:tcPr>
          <w:p w14:paraId="0693935C" w14:textId="45E9E0DC" w:rsidR="000B0584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€660</w:t>
            </w:r>
          </w:p>
        </w:tc>
      </w:tr>
      <w:tr w:rsidR="000B0584" w:rsidRPr="00502006" w14:paraId="56BF9190" w14:textId="6688E073" w:rsidTr="001E3652">
        <w:tc>
          <w:tcPr>
            <w:tcW w:w="5942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E" w14:textId="538982F6" w:rsidR="000B0584" w:rsidRPr="00A81119" w:rsidRDefault="000B0584" w:rsidP="000B0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4">
              <w:rPr>
                <w:rFonts w:ascii="Arial" w:eastAsia="Times New Roman" w:hAnsi="Arial" w:cs="Arial"/>
                <w:sz w:val="20"/>
                <w:szCs w:val="20"/>
              </w:rPr>
              <w:t>HTA/ Payers/ Academia/ Government/ Regulator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 –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after 21/10</w:t>
            </w:r>
            <w:r w:rsidRPr="00A81119" w:rsidDel="000B05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F" w14:textId="57E4699A" w:rsidR="000B0584" w:rsidRPr="00162B6F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€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975</w:t>
            </w:r>
          </w:p>
        </w:tc>
        <w:tc>
          <w:tcPr>
            <w:tcW w:w="1663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2C17862D" w14:textId="5142F206" w:rsidR="000B0584" w:rsidRPr="00162B6F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€1,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</w:tr>
      <w:tr w:rsidR="000B0584" w:rsidRPr="00502006" w14:paraId="56BF9193" w14:textId="1D83437E" w:rsidTr="001E3652">
        <w:tc>
          <w:tcPr>
            <w:tcW w:w="5942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1" w14:textId="4832EFD4" w:rsidR="000B0584" w:rsidRPr="00A81119" w:rsidRDefault="000B0584" w:rsidP="000B0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SMEs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2" w14:textId="07A189A3" w:rsidR="000B0584" w:rsidRPr="00162B6F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€1,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63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4FC0F5C4" w14:textId="1151CDA0" w:rsidR="000B0584" w:rsidRPr="001E3652" w:rsidRDefault="000B0584" w:rsidP="001E36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0584" w:rsidRPr="00502006" w14:paraId="56BF9196" w14:textId="38A13480" w:rsidTr="001E3652">
        <w:tc>
          <w:tcPr>
            <w:tcW w:w="5942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4" w14:textId="12AA142A" w:rsidR="000B0584" w:rsidRPr="00A81119" w:rsidRDefault="000B0584" w:rsidP="000B0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Patients and Patient Advocates</w:t>
            </w:r>
          </w:p>
        </w:tc>
        <w:tc>
          <w:tcPr>
            <w:tcW w:w="1739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5" w14:textId="02029EC5" w:rsidR="000B0584" w:rsidRPr="00162B6F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€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1663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</w:tcPr>
          <w:p w14:paraId="1B67D33E" w14:textId="75004951" w:rsidR="000B0584" w:rsidRPr="001E3652" w:rsidRDefault="000B0584" w:rsidP="001E36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0584" w:rsidRPr="00502006" w14:paraId="1DA6E0DA" w14:textId="77777777" w:rsidTr="000B0584">
        <w:tc>
          <w:tcPr>
            <w:tcW w:w="5942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273391F1" w14:textId="74ED3AC4" w:rsidR="000B0584" w:rsidRPr="00A81119" w:rsidDel="000B0584" w:rsidRDefault="000B0584" w:rsidP="000B0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Emerging Professionals</w:t>
            </w:r>
          </w:p>
        </w:tc>
        <w:tc>
          <w:tcPr>
            <w:tcW w:w="1739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00728D77" w14:textId="34218A90" w:rsidR="000B0584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€750</w:t>
            </w:r>
          </w:p>
        </w:tc>
        <w:tc>
          <w:tcPr>
            <w:tcW w:w="1663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</w:tcPr>
          <w:p w14:paraId="45A9C993" w14:textId="77777777" w:rsidR="000B0584" w:rsidRPr="001E3652" w:rsidRDefault="000B0584" w:rsidP="000B05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0584" w:rsidRPr="00502006" w14:paraId="32628438" w14:textId="791FA299" w:rsidTr="001E3652">
        <w:tc>
          <w:tcPr>
            <w:tcW w:w="5942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682BD417" w14:textId="191B7FAA" w:rsidR="000B0584" w:rsidRDefault="000B0584" w:rsidP="000B0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Students</w:t>
            </w:r>
          </w:p>
        </w:tc>
        <w:tc>
          <w:tcPr>
            <w:tcW w:w="1739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747472BC" w14:textId="7509146D" w:rsidR="000B0584" w:rsidRPr="004478D5" w:rsidRDefault="000B0584" w:rsidP="000B05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€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1663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</w:tcPr>
          <w:p w14:paraId="4DADC6CF" w14:textId="077028CC" w:rsidR="000B0584" w:rsidRPr="001E3652" w:rsidRDefault="000B0584" w:rsidP="001E36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6BF9197" w14:textId="543EF4AB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C0483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A078C7" w:rsidRPr="00A078C7">
          <w:rPr>
            <w:rStyle w:val="Hyperlink"/>
            <w:rFonts w:ascii="Arial" w:hAnsi="Arial" w:cs="Arial"/>
            <w:sz w:val="20"/>
            <w:szCs w:val="20"/>
          </w:rPr>
          <w:t xml:space="preserve">DIA </w:t>
        </w:r>
        <w:r w:rsidR="00F82D0D">
          <w:rPr>
            <w:rStyle w:val="Hyperlink"/>
            <w:rFonts w:ascii="Arial" w:hAnsi="Arial" w:cs="Arial"/>
            <w:sz w:val="20"/>
            <w:szCs w:val="20"/>
          </w:rPr>
          <w:t xml:space="preserve">Europe </w:t>
        </w:r>
        <w:r w:rsidR="00A078C7" w:rsidRPr="00A078C7">
          <w:rPr>
            <w:rStyle w:val="Hyperlink"/>
            <w:rFonts w:ascii="Arial" w:hAnsi="Arial" w:cs="Arial"/>
            <w:sz w:val="20"/>
            <w:szCs w:val="20"/>
          </w:rPr>
          <w:t>2020,</w:t>
        </w:r>
      </w:hyperlink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</w:t>
      </w:r>
      <w:r w:rsidR="00AC431D">
        <w:rPr>
          <w:rFonts w:ascii="Arial" w:hAnsi="Arial" w:cs="Arial"/>
          <w:b/>
          <w:sz w:val="20"/>
          <w:szCs w:val="20"/>
        </w:rPr>
        <w:t>/institution</w:t>
      </w:r>
      <w:r w:rsidRPr="00CB45F5">
        <w:rPr>
          <w:rFonts w:ascii="Arial" w:hAnsi="Arial" w:cs="Arial"/>
          <w:b/>
          <w:sz w:val="20"/>
          <w:szCs w:val="20"/>
        </w:rPr>
        <w:t xml:space="preserve">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596F"/>
    <w:multiLevelType w:val="hybridMultilevel"/>
    <w:tmpl w:val="5AD06CCC"/>
    <w:lvl w:ilvl="0" w:tplc="8DE03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B058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E3652"/>
    <w:rsid w:val="001F2907"/>
    <w:rsid w:val="001F50C7"/>
    <w:rsid w:val="00211653"/>
    <w:rsid w:val="00233557"/>
    <w:rsid w:val="00251138"/>
    <w:rsid w:val="00261140"/>
    <w:rsid w:val="002766C1"/>
    <w:rsid w:val="002A4249"/>
    <w:rsid w:val="002B17E4"/>
    <w:rsid w:val="002D13E1"/>
    <w:rsid w:val="002D7BDC"/>
    <w:rsid w:val="0031036E"/>
    <w:rsid w:val="0032231E"/>
    <w:rsid w:val="003445E9"/>
    <w:rsid w:val="003514BA"/>
    <w:rsid w:val="003602D3"/>
    <w:rsid w:val="00380A70"/>
    <w:rsid w:val="003A3AC4"/>
    <w:rsid w:val="003C3846"/>
    <w:rsid w:val="003E7285"/>
    <w:rsid w:val="003E7636"/>
    <w:rsid w:val="003F47E8"/>
    <w:rsid w:val="0044090D"/>
    <w:rsid w:val="004478D5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27523"/>
    <w:rsid w:val="0073566B"/>
    <w:rsid w:val="0074639E"/>
    <w:rsid w:val="00752FA5"/>
    <w:rsid w:val="0075647C"/>
    <w:rsid w:val="007A01AF"/>
    <w:rsid w:val="007B3CCC"/>
    <w:rsid w:val="007D5848"/>
    <w:rsid w:val="007F1DA4"/>
    <w:rsid w:val="008336A4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54B0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26FE"/>
    <w:rsid w:val="00AB5B14"/>
    <w:rsid w:val="00AB6159"/>
    <w:rsid w:val="00AB674F"/>
    <w:rsid w:val="00AC1BE2"/>
    <w:rsid w:val="00AC431D"/>
    <w:rsid w:val="00AD6E65"/>
    <w:rsid w:val="00AD777C"/>
    <w:rsid w:val="00AF5A23"/>
    <w:rsid w:val="00B02F6E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3068B"/>
    <w:rsid w:val="00D41F0A"/>
    <w:rsid w:val="00D43F23"/>
    <w:rsid w:val="00D54A7D"/>
    <w:rsid w:val="00D83D31"/>
    <w:rsid w:val="00D90C6A"/>
    <w:rsid w:val="00DA53C2"/>
    <w:rsid w:val="00DA5AD5"/>
    <w:rsid w:val="00DB598E"/>
    <w:rsid w:val="00DC5654"/>
    <w:rsid w:val="00DC7FC4"/>
    <w:rsid w:val="00DD39EF"/>
    <w:rsid w:val="00E10D92"/>
    <w:rsid w:val="00E636D8"/>
    <w:rsid w:val="00E76FDE"/>
    <w:rsid w:val="00E82163"/>
    <w:rsid w:val="00ED109A"/>
    <w:rsid w:val="00ED1ACB"/>
    <w:rsid w:val="00ED3454"/>
    <w:rsid w:val="00ED4D94"/>
    <w:rsid w:val="00F15CFA"/>
    <w:rsid w:val="00F41E70"/>
    <w:rsid w:val="00F82D0D"/>
    <w:rsid w:val="00F86EF1"/>
    <w:rsid w:val="00F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diaglobal.org/en/flagship/dia-europe-202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Year xmlns="d9d0f46b-f6a6-4db7-a277-b2edc3298236">26</Year>
    <Doc_x0020_Status xmlns="d9d0f46b-f6a6-4db7-a277-b2edc3298236">1</Doc_x0020_Status>
    <Meeting_x0020_Code xmlns="d9d0f46b-f6a6-4db7-a277-b2edc3298236">2062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2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3EF3834-53B8-40F5-891E-1ABAA62A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Pedro Barroca</cp:lastModifiedBy>
  <cp:revision>3</cp:revision>
  <cp:lastPrinted>2014-09-25T16:10:00Z</cp:lastPrinted>
  <dcterms:created xsi:type="dcterms:W3CDTF">2019-10-15T12:23:00Z</dcterms:created>
  <dcterms:modified xsi:type="dcterms:W3CDTF">2019-10-15T12:24:00Z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