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08DFE" w14:textId="77777777" w:rsidR="00E22EBF" w:rsidRPr="001803F8" w:rsidRDefault="00E22EBF" w:rsidP="00E22EBF">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Below, you'll find a "justification letter" template — a letter to your supervisor explaining all the benefits you'll get from attending </w:t>
      </w:r>
      <w:r w:rsidR="001403C7">
        <w:rPr>
          <w:rFonts w:ascii="Arial" w:eastAsia="Times New Roman" w:hAnsi="Arial" w:cs="Arial"/>
          <w:b/>
          <w:sz w:val="20"/>
          <w:szCs w:val="20"/>
          <w:lang w:val="en"/>
        </w:rPr>
        <w:t xml:space="preserve">DIA’s </w:t>
      </w:r>
      <w:r w:rsidR="001B2802">
        <w:rPr>
          <w:rFonts w:ascii="Arial" w:eastAsia="Times New Roman" w:hAnsi="Arial" w:cs="Arial"/>
          <w:b/>
          <w:i/>
          <w:sz w:val="20"/>
          <w:szCs w:val="20"/>
          <w:lang w:val="en"/>
        </w:rPr>
        <w:t>Pharmacovigilance and Risk Management Strategies Conference</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sidR="001403C7">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sidR="001403C7">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sidR="001403C7">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sidR="001403C7">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sidR="00357A6B">
        <w:rPr>
          <w:rFonts w:ascii="Arial" w:eastAsia="Times New Roman" w:hAnsi="Arial" w:cs="Arial"/>
          <w:b/>
          <w:sz w:val="20"/>
          <w:szCs w:val="20"/>
          <w:lang w:val="en"/>
        </w:rPr>
        <w:t>’s goals.</w:t>
      </w:r>
    </w:p>
    <w:p w14:paraId="77A4389D" w14:textId="77777777" w:rsidR="00E22EBF" w:rsidRPr="001803F8" w:rsidRDefault="00E22EBF" w:rsidP="00E22EBF">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This general template will get you started while allowing you to customize it to you and your organization's particular needs.</w:t>
      </w:r>
    </w:p>
    <w:p w14:paraId="721CDC16" w14:textId="77777777" w:rsidR="00E22EBF" w:rsidRPr="001803F8" w:rsidRDefault="00E22EBF" w:rsidP="00E22EBF">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14:paraId="58343E56" w14:textId="77777777" w:rsidR="00E22EBF" w:rsidRPr="001803F8" w:rsidRDefault="00E22EBF" w:rsidP="00E22EBF">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14:paraId="67485D4E" w14:textId="13DE8710" w:rsidR="00E22EBF" w:rsidRDefault="00E22EBF" w:rsidP="00E22EBF">
      <w:pPr>
        <w:rPr>
          <w:rFonts w:ascii="Arial" w:hAnsi="Arial" w:cs="Arial"/>
          <w:sz w:val="20"/>
          <w:szCs w:val="20"/>
        </w:rPr>
      </w:pPr>
      <w:r w:rsidRPr="001803F8">
        <w:rPr>
          <w:rFonts w:ascii="Arial" w:hAnsi="Arial" w:cs="Arial"/>
          <w:sz w:val="20"/>
          <w:szCs w:val="20"/>
        </w:rPr>
        <w:t xml:space="preserve">I would like to attend </w:t>
      </w:r>
      <w:r w:rsidR="0059215B">
        <w:rPr>
          <w:rFonts w:ascii="Arial" w:hAnsi="Arial" w:cs="Arial"/>
          <w:sz w:val="20"/>
          <w:szCs w:val="20"/>
        </w:rPr>
        <w:t xml:space="preserve">DIA’s </w:t>
      </w:r>
      <w:r w:rsidR="0059215B" w:rsidRPr="0059215B">
        <w:rPr>
          <w:rFonts w:ascii="Arial" w:hAnsi="Arial" w:cs="Arial"/>
          <w:i/>
          <w:sz w:val="20"/>
          <w:szCs w:val="20"/>
        </w:rPr>
        <w:t>Pharmacovigilance and Risk Management Strategies Conference</w:t>
      </w:r>
      <w:r w:rsidRPr="001803F8">
        <w:rPr>
          <w:rFonts w:ascii="Arial" w:hAnsi="Arial" w:cs="Arial"/>
          <w:i/>
          <w:sz w:val="20"/>
          <w:szCs w:val="20"/>
        </w:rPr>
        <w:t xml:space="preserve">, </w:t>
      </w:r>
      <w:r w:rsidR="0059215B">
        <w:rPr>
          <w:rFonts w:ascii="Arial" w:hAnsi="Arial" w:cs="Arial"/>
          <w:sz w:val="20"/>
          <w:szCs w:val="20"/>
        </w:rPr>
        <w:t>January 2</w:t>
      </w:r>
      <w:r w:rsidR="00D154B8">
        <w:rPr>
          <w:rFonts w:ascii="Arial" w:hAnsi="Arial" w:cs="Arial"/>
          <w:sz w:val="20"/>
          <w:szCs w:val="20"/>
        </w:rPr>
        <w:t>4</w:t>
      </w:r>
      <w:r w:rsidR="0059215B">
        <w:rPr>
          <w:rFonts w:ascii="Arial" w:hAnsi="Arial" w:cs="Arial"/>
          <w:sz w:val="20"/>
          <w:szCs w:val="20"/>
        </w:rPr>
        <w:t>-2</w:t>
      </w:r>
      <w:r w:rsidR="00D154B8">
        <w:rPr>
          <w:rFonts w:ascii="Arial" w:hAnsi="Arial" w:cs="Arial"/>
          <w:sz w:val="20"/>
          <w:szCs w:val="20"/>
        </w:rPr>
        <w:t>7</w:t>
      </w:r>
      <w:r w:rsidRPr="001803F8">
        <w:rPr>
          <w:rFonts w:ascii="Arial" w:hAnsi="Arial" w:cs="Arial"/>
          <w:sz w:val="20"/>
          <w:szCs w:val="20"/>
        </w:rPr>
        <w:t xml:space="preserve">, in </w:t>
      </w:r>
      <w:r w:rsidR="003323CE">
        <w:rPr>
          <w:rFonts w:ascii="Arial" w:hAnsi="Arial" w:cs="Arial"/>
          <w:sz w:val="20"/>
          <w:szCs w:val="20"/>
        </w:rPr>
        <w:t>Washington, DC.</w:t>
      </w:r>
    </w:p>
    <w:p w14:paraId="5E306109" w14:textId="77777777" w:rsidR="003323CE" w:rsidRDefault="003323CE" w:rsidP="00E22EBF">
      <w:pPr>
        <w:rPr>
          <w:rFonts w:ascii="Arial" w:hAnsi="Arial" w:cs="Arial"/>
          <w:sz w:val="20"/>
          <w:szCs w:val="20"/>
        </w:rPr>
      </w:pPr>
      <w:r>
        <w:rPr>
          <w:rFonts w:ascii="Arial" w:hAnsi="Arial" w:cs="Arial"/>
          <w:sz w:val="20"/>
          <w:szCs w:val="20"/>
        </w:rPr>
        <w:t>This conference brings together industry professionals, clinical research organizations, academic research centers</w:t>
      </w:r>
      <w:r w:rsidR="008B15A3">
        <w:rPr>
          <w:rFonts w:ascii="Arial" w:hAnsi="Arial" w:cs="Arial"/>
          <w:sz w:val="20"/>
          <w:szCs w:val="20"/>
        </w:rPr>
        <w:t>,</w:t>
      </w:r>
      <w:r>
        <w:rPr>
          <w:rFonts w:ascii="Arial" w:hAnsi="Arial" w:cs="Arial"/>
          <w:sz w:val="20"/>
          <w:szCs w:val="20"/>
        </w:rPr>
        <w:t xml:space="preserve"> and regulatory agencies </w:t>
      </w:r>
      <w:r w:rsidR="00034EAC">
        <w:rPr>
          <w:rFonts w:ascii="Arial" w:hAnsi="Arial" w:cs="Arial"/>
          <w:sz w:val="20"/>
          <w:szCs w:val="20"/>
        </w:rPr>
        <w:t>to provide the strongest possible context, background, updates, new developments and future direction for regulations and guidance on safety, pharmacovigilance, and risk management strategies anywhere.</w:t>
      </w:r>
      <w:r w:rsidR="00C12C72">
        <w:rPr>
          <w:rFonts w:ascii="Arial" w:hAnsi="Arial" w:cs="Arial"/>
          <w:sz w:val="20"/>
          <w:szCs w:val="20"/>
        </w:rPr>
        <w:t xml:space="preserve"> With content developed by top experts from the biopharmaceutical industry and global regulatory agencies, I’ll have access to the best speakers from around the world as they discuss the current challenges and issues that matter most to our field.</w:t>
      </w:r>
    </w:p>
    <w:p w14:paraId="01077F19" w14:textId="77777777" w:rsidR="003323CE" w:rsidRDefault="00C12C72" w:rsidP="00E22EBF">
      <w:pPr>
        <w:rPr>
          <w:rFonts w:ascii="Arial" w:hAnsi="Arial" w:cs="Arial"/>
          <w:sz w:val="20"/>
          <w:szCs w:val="20"/>
        </w:rPr>
      </w:pPr>
      <w:r>
        <w:rPr>
          <w:rFonts w:ascii="Arial" w:hAnsi="Arial" w:cs="Arial"/>
          <w:sz w:val="20"/>
          <w:szCs w:val="20"/>
        </w:rPr>
        <w:t xml:space="preserve">DIA’s </w:t>
      </w:r>
      <w:r w:rsidRPr="004D73EB">
        <w:rPr>
          <w:rFonts w:ascii="Arial" w:hAnsi="Arial" w:cs="Arial"/>
          <w:i/>
          <w:sz w:val="20"/>
          <w:szCs w:val="20"/>
        </w:rPr>
        <w:t>Pharmacovigilance and Risk Management Strategies Conference</w:t>
      </w:r>
      <w:r>
        <w:rPr>
          <w:rFonts w:ascii="Arial" w:hAnsi="Arial" w:cs="Arial"/>
          <w:sz w:val="20"/>
          <w:szCs w:val="20"/>
        </w:rPr>
        <w:t xml:space="preserve"> will give me the foundation for strong strategic planning and practical decision-making in our pharmacovigilance programs. </w:t>
      </w:r>
      <w:r w:rsidR="006E42F4">
        <w:rPr>
          <w:rFonts w:ascii="Arial" w:hAnsi="Arial" w:cs="Arial"/>
          <w:sz w:val="20"/>
          <w:szCs w:val="20"/>
        </w:rPr>
        <w:t xml:space="preserve">This year’s agenda </w:t>
      </w:r>
      <w:r w:rsidR="004602D5">
        <w:rPr>
          <w:rFonts w:ascii="Arial" w:hAnsi="Arial" w:cs="Arial"/>
          <w:sz w:val="20"/>
          <w:szCs w:val="20"/>
        </w:rPr>
        <w:t>will feature regulators from the US, EU, and other global regions providing the context and thinking behind evolving requirements and</w:t>
      </w:r>
      <w:r w:rsidR="008B15A3">
        <w:rPr>
          <w:rFonts w:ascii="Arial" w:hAnsi="Arial" w:cs="Arial"/>
          <w:sz w:val="20"/>
          <w:szCs w:val="20"/>
        </w:rPr>
        <w:t xml:space="preserve"> will</w:t>
      </w:r>
      <w:r w:rsidR="004602D5">
        <w:rPr>
          <w:rFonts w:ascii="Arial" w:hAnsi="Arial" w:cs="Arial"/>
          <w:sz w:val="20"/>
          <w:szCs w:val="20"/>
        </w:rPr>
        <w:t xml:space="preserve"> include valuable Q&amp;A opportunities.</w:t>
      </w:r>
    </w:p>
    <w:p w14:paraId="17A399FB" w14:textId="77777777" w:rsidR="00E22EBF" w:rsidRPr="007D356E" w:rsidRDefault="004602D5" w:rsidP="007D356E">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Numerous attendees with intermediate to advanced knowledge of clinical safety, and who are involved in a wide variety of occupations–from pharmacovigilance </w:t>
      </w:r>
      <w:r w:rsidR="00222420">
        <w:rPr>
          <w:rFonts w:ascii="Arial" w:eastAsia="Times New Roman" w:hAnsi="Arial" w:cs="Arial"/>
          <w:sz w:val="20"/>
          <w:szCs w:val="20"/>
        </w:rPr>
        <w:t>and</w:t>
      </w:r>
      <w:r>
        <w:rPr>
          <w:rFonts w:ascii="Arial" w:eastAsia="Times New Roman" w:hAnsi="Arial" w:cs="Arial"/>
          <w:sz w:val="20"/>
          <w:szCs w:val="20"/>
        </w:rPr>
        <w:t xml:space="preserve"> regulatory affairs, to risk management and post-market studies with </w:t>
      </w:r>
      <w:r w:rsidR="00222420">
        <w:rPr>
          <w:rFonts w:ascii="Arial" w:eastAsia="Times New Roman" w:hAnsi="Arial" w:cs="Arial"/>
          <w:sz w:val="20"/>
          <w:szCs w:val="20"/>
        </w:rPr>
        <w:t>r</w:t>
      </w:r>
      <w:r>
        <w:rPr>
          <w:rFonts w:ascii="Arial" w:eastAsia="Times New Roman" w:hAnsi="Arial" w:cs="Arial"/>
          <w:sz w:val="20"/>
          <w:szCs w:val="20"/>
        </w:rPr>
        <w:t xml:space="preserve">eal </w:t>
      </w:r>
      <w:r w:rsidR="00222420">
        <w:rPr>
          <w:rFonts w:ascii="Arial" w:eastAsia="Times New Roman" w:hAnsi="Arial" w:cs="Arial"/>
          <w:sz w:val="20"/>
          <w:szCs w:val="20"/>
        </w:rPr>
        <w:t>w</w:t>
      </w:r>
      <w:r>
        <w:rPr>
          <w:rFonts w:ascii="Arial" w:eastAsia="Times New Roman" w:hAnsi="Arial" w:cs="Arial"/>
          <w:sz w:val="20"/>
          <w:szCs w:val="20"/>
        </w:rPr>
        <w:t xml:space="preserve">orld </w:t>
      </w:r>
      <w:r w:rsidR="00222420">
        <w:rPr>
          <w:rFonts w:ascii="Arial" w:eastAsia="Times New Roman" w:hAnsi="Arial" w:cs="Arial"/>
          <w:sz w:val="20"/>
          <w:szCs w:val="20"/>
        </w:rPr>
        <w:t>e</w:t>
      </w:r>
      <w:r>
        <w:rPr>
          <w:rFonts w:ascii="Arial" w:eastAsia="Times New Roman" w:hAnsi="Arial" w:cs="Arial"/>
          <w:sz w:val="20"/>
          <w:szCs w:val="20"/>
        </w:rPr>
        <w:t xml:space="preserve">vidence generation–will attend and present at this event. I will be able to participate in </w:t>
      </w:r>
      <w:r w:rsidR="007D356E">
        <w:rPr>
          <w:rFonts w:ascii="Arial" w:eastAsia="Times New Roman" w:hAnsi="Arial" w:cs="Arial"/>
          <w:sz w:val="20"/>
          <w:szCs w:val="20"/>
        </w:rPr>
        <w:t xml:space="preserve">several global, interdisciplinary, cross-functional educational offerings with </w:t>
      </w:r>
      <w:r>
        <w:rPr>
          <w:rFonts w:ascii="Arial" w:eastAsia="Times New Roman" w:hAnsi="Arial" w:cs="Arial"/>
          <w:sz w:val="20"/>
          <w:szCs w:val="20"/>
        </w:rPr>
        <w:t>immediate workplace</w:t>
      </w:r>
      <w:r w:rsidR="007D356E">
        <w:rPr>
          <w:rFonts w:ascii="Arial" w:eastAsia="Times New Roman" w:hAnsi="Arial" w:cs="Arial"/>
          <w:sz w:val="20"/>
          <w:szCs w:val="20"/>
        </w:rPr>
        <w:t xml:space="preserve"> applications, and will </w:t>
      </w:r>
      <w:r w:rsidR="00E22EBF" w:rsidRPr="001803F8">
        <w:rPr>
          <w:rFonts w:ascii="Arial" w:eastAsia="Times New Roman" w:hAnsi="Arial" w:cs="Arial"/>
          <w:sz w:val="20"/>
          <w:szCs w:val="20"/>
        </w:rPr>
        <w:t>have access to the exhibit hall</w:t>
      </w:r>
      <w:r w:rsidR="007D356E">
        <w:rPr>
          <w:rFonts w:ascii="Arial" w:eastAsia="Times New Roman" w:hAnsi="Arial" w:cs="Arial"/>
          <w:sz w:val="20"/>
          <w:szCs w:val="20"/>
        </w:rPr>
        <w:t xml:space="preserve">, where vendors will </w:t>
      </w:r>
      <w:r w:rsidR="00E22EBF" w:rsidRPr="001803F8">
        <w:rPr>
          <w:rFonts w:ascii="Arial" w:eastAsia="Times New Roman" w:hAnsi="Arial" w:cs="Arial"/>
          <w:sz w:val="20"/>
          <w:szCs w:val="20"/>
        </w:rPr>
        <w:t>featur</w:t>
      </w:r>
      <w:r w:rsidR="007D356E">
        <w:rPr>
          <w:rFonts w:ascii="Arial" w:eastAsia="Times New Roman" w:hAnsi="Arial" w:cs="Arial"/>
          <w:sz w:val="20"/>
          <w:szCs w:val="20"/>
        </w:rPr>
        <w:t>e</w:t>
      </w:r>
      <w:r w:rsidR="00E22EBF" w:rsidRPr="001803F8">
        <w:rPr>
          <w:rFonts w:ascii="Arial" w:eastAsia="Times New Roman" w:hAnsi="Arial" w:cs="Arial"/>
          <w:sz w:val="20"/>
          <w:szCs w:val="20"/>
        </w:rPr>
        <w:t xml:space="preserve"> their </w:t>
      </w:r>
      <w:r w:rsidR="007D356E">
        <w:rPr>
          <w:rFonts w:ascii="Arial" w:eastAsia="Times New Roman" w:hAnsi="Arial" w:cs="Arial"/>
          <w:sz w:val="20"/>
          <w:szCs w:val="20"/>
        </w:rPr>
        <w:t xml:space="preserve">latest innovative </w:t>
      </w:r>
      <w:r w:rsidR="00E22EBF" w:rsidRPr="001803F8">
        <w:rPr>
          <w:rFonts w:ascii="Arial" w:eastAsia="Times New Roman" w:hAnsi="Arial" w:cs="Arial"/>
          <w:sz w:val="20"/>
          <w:szCs w:val="20"/>
        </w:rPr>
        <w:t>solutions and services.</w:t>
      </w:r>
    </w:p>
    <w:p w14:paraId="7A56F8FD" w14:textId="77777777" w:rsidR="00E22EBF" w:rsidRPr="001803F8" w:rsidRDefault="00E22EBF" w:rsidP="00E22EBF">
      <w:pPr>
        <w:spacing w:after="0" w:line="240" w:lineRule="auto"/>
        <w:rPr>
          <w:rFonts w:ascii="Arial" w:hAnsi="Arial" w:cs="Arial"/>
          <w:sz w:val="20"/>
          <w:szCs w:val="20"/>
        </w:rPr>
      </w:pPr>
      <w:r w:rsidRPr="001803F8">
        <w:rPr>
          <w:rFonts w:ascii="Arial" w:hAnsi="Arial" w:cs="Arial"/>
          <w:sz w:val="20"/>
          <w:szCs w:val="20"/>
        </w:rPr>
        <w:t xml:space="preserve">This conference also offers Continuing Education Credits and numerous sessions </w:t>
      </w:r>
      <w:r w:rsidR="004602D5">
        <w:rPr>
          <w:rFonts w:ascii="Arial" w:hAnsi="Arial" w:cs="Arial"/>
          <w:sz w:val="20"/>
          <w:szCs w:val="20"/>
        </w:rPr>
        <w:t xml:space="preserve">will </w:t>
      </w:r>
      <w:r w:rsidRPr="001803F8">
        <w:rPr>
          <w:rFonts w:ascii="Arial" w:hAnsi="Arial" w:cs="Arial"/>
          <w:sz w:val="20"/>
          <w:szCs w:val="20"/>
        </w:rPr>
        <w:t>cover interest areas</w:t>
      </w:r>
      <w:r w:rsidR="004602D5">
        <w:rPr>
          <w:rFonts w:ascii="Arial" w:hAnsi="Arial" w:cs="Arial"/>
          <w:sz w:val="20"/>
          <w:szCs w:val="20"/>
        </w:rPr>
        <w:t xml:space="preserve"> that include:</w:t>
      </w:r>
    </w:p>
    <w:p w14:paraId="759B0033" w14:textId="77777777" w:rsidR="00E22EBF" w:rsidRPr="001803F8" w:rsidRDefault="00E22EBF" w:rsidP="00E22EBF">
      <w:pPr>
        <w:spacing w:after="0" w:line="240" w:lineRule="auto"/>
        <w:rPr>
          <w:rFonts w:ascii="Arial" w:hAnsi="Arial" w:cs="Arial"/>
          <w:color w:val="313131"/>
          <w:sz w:val="20"/>
          <w:szCs w:val="20"/>
        </w:rPr>
      </w:pPr>
    </w:p>
    <w:p w14:paraId="5663978B" w14:textId="77777777" w:rsidR="00E22EBF" w:rsidRPr="001803F8" w:rsidRDefault="00E22EBF" w:rsidP="00E22EBF">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14:paraId="45B98271" w14:textId="77777777" w:rsidR="00E22EBF" w:rsidRPr="001803F8" w:rsidRDefault="00E22EBF" w:rsidP="00E22EBF">
      <w:pPr>
        <w:spacing w:after="0" w:line="240" w:lineRule="auto"/>
        <w:ind w:left="360"/>
        <w:rPr>
          <w:rFonts w:ascii="Arial" w:hAnsi="Arial" w:cs="Arial"/>
          <w:color w:val="313131"/>
          <w:sz w:val="20"/>
          <w:szCs w:val="20"/>
        </w:rPr>
      </w:pPr>
    </w:p>
    <w:p w14:paraId="78CE05CF" w14:textId="77777777" w:rsidR="00E22EBF" w:rsidRPr="001803F8" w:rsidRDefault="00E22EBF" w:rsidP="00E22EBF">
      <w:pPr>
        <w:pStyle w:val="ListParagraph"/>
        <w:numPr>
          <w:ilvl w:val="0"/>
          <w:numId w:val="1"/>
        </w:numPr>
        <w:spacing w:after="0" w:line="240" w:lineRule="auto"/>
        <w:ind w:left="1080"/>
        <w:rPr>
          <w:rFonts w:ascii="Arial" w:hAnsi="Arial" w:cs="Arial"/>
          <w:sz w:val="20"/>
          <w:szCs w:val="20"/>
        </w:rPr>
        <w:sectPr w:rsidR="00E22EBF" w:rsidRPr="001803F8" w:rsidSect="006A47E7">
          <w:pgSz w:w="12240" w:h="15840"/>
          <w:pgMar w:top="1440" w:right="1440" w:bottom="1440" w:left="1440" w:header="720" w:footer="720" w:gutter="0"/>
          <w:cols w:space="720"/>
          <w:docGrid w:linePitch="360"/>
        </w:sectPr>
      </w:pPr>
    </w:p>
    <w:p w14:paraId="12C1D176" w14:textId="77777777" w:rsidR="00246398"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Biotechnology</w:t>
      </w:r>
    </w:p>
    <w:p w14:paraId="308D47B4" w14:textId="77777777" w:rsidR="004D73EB"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Comparative Effectiveness/Health Technology Assessment</w:t>
      </w:r>
    </w:p>
    <w:p w14:paraId="370481D5" w14:textId="77777777" w:rsidR="00E22EBF" w:rsidRDefault="004602D5"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Safety/Pharmacovigilance</w:t>
      </w:r>
    </w:p>
    <w:p w14:paraId="42F5A01F" w14:textId="77777777" w:rsidR="004D73EB"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Research</w:t>
      </w:r>
    </w:p>
    <w:p w14:paraId="640C93A3" w14:textId="77777777" w:rsidR="004602D5"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eClinical</w:t>
      </w:r>
    </w:p>
    <w:p w14:paraId="5188ADE7" w14:textId="77777777" w:rsidR="00246398" w:rsidRP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Good Clinical Practice</w:t>
      </w:r>
    </w:p>
    <w:p w14:paraId="03846105" w14:textId="77777777" w:rsidR="004D73EB"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Communications</w:t>
      </w:r>
    </w:p>
    <w:p w14:paraId="088AB817"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Devices and Diagnostics</w:t>
      </w:r>
    </w:p>
    <w:p w14:paraId="4CC4F178"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Science Liaison</w:t>
      </w:r>
    </w:p>
    <w:p w14:paraId="3A705B64"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Outsourcing</w:t>
      </w:r>
    </w:p>
    <w:p w14:paraId="036EDA28"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Pharmacology</w:t>
      </w:r>
    </w:p>
    <w:p w14:paraId="4EB3E74E"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Patient Engagement</w:t>
      </w:r>
    </w:p>
    <w:p w14:paraId="66BD6CB5"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Regulatory Affairs</w:t>
      </w:r>
    </w:p>
    <w:p w14:paraId="0C003FA3"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 xml:space="preserve">Research </w:t>
      </w:r>
      <w:r w:rsidR="00222420">
        <w:rPr>
          <w:rFonts w:ascii="Arial" w:hAnsi="Arial" w:cs="Arial"/>
          <w:bCs/>
          <w:color w:val="000000"/>
          <w:sz w:val="20"/>
          <w:szCs w:val="20"/>
        </w:rPr>
        <w:t>and</w:t>
      </w:r>
      <w:r>
        <w:rPr>
          <w:rFonts w:ascii="Arial" w:hAnsi="Arial" w:cs="Arial"/>
          <w:bCs/>
          <w:color w:val="000000"/>
          <w:sz w:val="20"/>
          <w:szCs w:val="20"/>
        </w:rPr>
        <w:t xml:space="preserve"> Development</w:t>
      </w:r>
    </w:p>
    <w:p w14:paraId="00960891" w14:textId="77777777" w:rsidR="004D73EB" w:rsidRPr="00222420" w:rsidRDefault="004D73EB" w:rsidP="00222420">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Real World Evidence</w:t>
      </w:r>
    </w:p>
    <w:p w14:paraId="16D34692"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Risk Evaluation and Mitigating Strategies</w:t>
      </w:r>
    </w:p>
    <w:p w14:paraId="424702BE"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Risk Management</w:t>
      </w:r>
    </w:p>
    <w:p w14:paraId="3940FEBD" w14:textId="77777777"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Study Endpoints/Clinical Outcome Assessments</w:t>
      </w:r>
    </w:p>
    <w:p w14:paraId="0D797460" w14:textId="77777777" w:rsidR="00E22EBF" w:rsidRP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Statistics</w:t>
      </w:r>
    </w:p>
    <w:p w14:paraId="077246F1" w14:textId="77777777" w:rsidR="00E22EBF" w:rsidRPr="001803F8" w:rsidRDefault="00E22EBF" w:rsidP="00E22EBF">
      <w:pPr>
        <w:spacing w:after="0" w:line="240" w:lineRule="auto"/>
        <w:ind w:left="360"/>
        <w:rPr>
          <w:rFonts w:ascii="Arial" w:hAnsi="Arial" w:cs="Arial"/>
          <w:sz w:val="20"/>
          <w:szCs w:val="20"/>
        </w:rPr>
      </w:pPr>
    </w:p>
    <w:p w14:paraId="46184AA4" w14:textId="77777777" w:rsidR="00E22EBF" w:rsidRPr="001803F8" w:rsidRDefault="00E22EBF" w:rsidP="00E22EBF">
      <w:pPr>
        <w:pStyle w:val="ListParagraph"/>
        <w:spacing w:after="0" w:line="240" w:lineRule="auto"/>
        <w:ind w:left="1080"/>
        <w:rPr>
          <w:rFonts w:ascii="Arial" w:hAnsi="Arial" w:cs="Arial"/>
          <w:sz w:val="20"/>
          <w:szCs w:val="20"/>
        </w:rPr>
        <w:sectPr w:rsidR="00E22EBF" w:rsidRPr="001803F8" w:rsidSect="006A47E7">
          <w:type w:val="continuous"/>
          <w:pgSz w:w="12240" w:h="15840"/>
          <w:pgMar w:top="720" w:right="720" w:bottom="720" w:left="720" w:header="720" w:footer="720" w:gutter="0"/>
          <w:cols w:num="2" w:space="720"/>
          <w:docGrid w:linePitch="360"/>
        </w:sectPr>
      </w:pPr>
    </w:p>
    <w:p w14:paraId="2CF44D2C" w14:textId="77777777" w:rsidR="00E22EBF" w:rsidRPr="001803F8" w:rsidRDefault="00E22EBF" w:rsidP="00E22EBF">
      <w:pPr>
        <w:pStyle w:val="NormalWeb"/>
        <w:rPr>
          <w:rFonts w:ascii="Arial" w:hAnsi="Arial" w:cs="Arial"/>
          <w:sz w:val="20"/>
          <w:szCs w:val="20"/>
          <w:lang w:val="en"/>
        </w:rPr>
      </w:pPr>
      <w:r w:rsidRPr="001803F8">
        <w:rPr>
          <w:rFonts w:ascii="Arial" w:hAnsi="Arial" w:cs="Arial"/>
          <w:sz w:val="20"/>
          <w:szCs w:val="20"/>
        </w:rPr>
        <w:t>I am seeking your support in attending this conference. The registration fees, travel expenses, and per diem are estimated below. </w:t>
      </w:r>
    </w:p>
    <w:p w14:paraId="3341516C" w14:textId="77777777" w:rsidR="00E22EBF" w:rsidRPr="001803F8" w:rsidRDefault="00E22EBF" w:rsidP="00E22EBF">
      <w:pPr>
        <w:pStyle w:val="NormalWeb"/>
        <w:rPr>
          <w:rStyle w:val="Strong"/>
          <w:rFonts w:ascii="Arial" w:hAnsi="Arial" w:cs="Arial"/>
          <w:sz w:val="20"/>
          <w:szCs w:val="20"/>
        </w:rPr>
      </w:pPr>
      <w:r w:rsidRPr="001803F8">
        <w:rPr>
          <w:rFonts w:ascii="Arial" w:hAnsi="Arial" w:cs="Arial"/>
          <w:sz w:val="20"/>
          <w:szCs w:val="20"/>
        </w:rPr>
        <w:lastRenderedPageBreak/>
        <w:t xml:space="preserve">Roundtrip Airfare: </w:t>
      </w:r>
      <w:r w:rsidRPr="001803F8">
        <w:rPr>
          <w:rStyle w:val="Strong"/>
          <w:rFonts w:ascii="Arial" w:hAnsi="Arial" w:cs="Arial"/>
          <w:sz w:val="20"/>
          <w:szCs w:val="20"/>
        </w:rPr>
        <w:t>&lt;$XXX&gt;</w:t>
      </w:r>
      <w:r w:rsidRPr="001803F8">
        <w:rPr>
          <w:rFonts w:ascii="Arial" w:hAnsi="Arial" w:cs="Arial"/>
          <w:sz w:val="20"/>
          <w:szCs w:val="20"/>
        </w:rPr>
        <w:br/>
        <w:t xml:space="preserve">Ground Transportation: </w:t>
      </w:r>
      <w:r w:rsidRPr="001803F8">
        <w:rPr>
          <w:rStyle w:val="Strong"/>
          <w:rFonts w:ascii="Arial" w:hAnsi="Arial" w:cs="Arial"/>
          <w:sz w:val="20"/>
          <w:szCs w:val="20"/>
        </w:rPr>
        <w:t xml:space="preserve">&lt;$XXX&gt; </w:t>
      </w:r>
      <w:r w:rsidRPr="001803F8">
        <w:rPr>
          <w:rFonts w:ascii="Arial" w:hAnsi="Arial" w:cs="Arial"/>
          <w:sz w:val="20"/>
          <w:szCs w:val="20"/>
        </w:rPr>
        <w:br/>
        <w:t xml:space="preserve">Hotel: </w:t>
      </w:r>
      <w:r w:rsidRPr="001803F8">
        <w:rPr>
          <w:rStyle w:val="Strong"/>
          <w:rFonts w:ascii="Arial" w:hAnsi="Arial" w:cs="Arial"/>
          <w:sz w:val="20"/>
          <w:szCs w:val="20"/>
        </w:rPr>
        <w:t xml:space="preserve">&lt;$XXX&gt; </w:t>
      </w:r>
      <w:hyperlink r:id="rId5" w:history="1">
        <w:r w:rsidRPr="00034EAC">
          <w:rPr>
            <w:rStyle w:val="Hyperlink"/>
            <w:rFonts w:ascii="Arial" w:hAnsi="Arial" w:cs="Arial"/>
            <w:i/>
            <w:sz w:val="20"/>
            <w:szCs w:val="20"/>
          </w:rPr>
          <w:t>Click here</w:t>
        </w:r>
      </w:hyperlink>
      <w:r w:rsidRPr="001803F8">
        <w:rPr>
          <w:rStyle w:val="Strong"/>
          <w:rFonts w:ascii="Arial" w:hAnsi="Arial" w:cs="Arial"/>
          <w:b w:val="0"/>
          <w:i/>
          <w:sz w:val="20"/>
          <w:szCs w:val="20"/>
        </w:rPr>
        <w:t xml:space="preserve"> for the room block, room rates, and available concessions.</w:t>
      </w:r>
      <w:r w:rsidRPr="001803F8">
        <w:rPr>
          <w:rFonts w:ascii="Arial" w:hAnsi="Arial" w:cs="Arial"/>
          <w:b/>
          <w:bCs/>
          <w:sz w:val="16"/>
          <w:szCs w:val="16"/>
          <w:u w:val="single"/>
        </w:rPr>
        <w:br/>
      </w:r>
      <w:r w:rsidRPr="001803F8">
        <w:rPr>
          <w:rFonts w:ascii="Arial" w:hAnsi="Arial" w:cs="Arial"/>
          <w:sz w:val="20"/>
          <w:szCs w:val="20"/>
        </w:rPr>
        <w:t xml:space="preserve">Meals (continental breakfast and lunch are provided in the registration fee): </w:t>
      </w:r>
      <w:r w:rsidRPr="001803F8">
        <w:rPr>
          <w:rStyle w:val="Strong"/>
          <w:rFonts w:ascii="Arial" w:hAnsi="Arial" w:cs="Arial"/>
          <w:sz w:val="20"/>
          <w:szCs w:val="20"/>
        </w:rPr>
        <w:t>&lt;$XXX&gt;</w:t>
      </w:r>
      <w:r w:rsidRPr="001803F8">
        <w:rPr>
          <w:rFonts w:ascii="Arial" w:hAnsi="Arial" w:cs="Arial"/>
          <w:sz w:val="20"/>
          <w:szCs w:val="20"/>
        </w:rPr>
        <w:br/>
        <w:t xml:space="preserve">Registration Fee: </w:t>
      </w:r>
      <w:r w:rsidRPr="001803F8">
        <w:rPr>
          <w:rStyle w:val="Strong"/>
          <w:rFonts w:ascii="Arial" w:hAnsi="Arial" w:cs="Arial"/>
          <w:sz w:val="20"/>
          <w:szCs w:val="20"/>
        </w:rPr>
        <w:t xml:space="preserve">&lt;$XXX&gt; see below </w:t>
      </w:r>
    </w:p>
    <w:p w14:paraId="6BDD7E2A" w14:textId="77777777" w:rsidR="00E22EBF" w:rsidRPr="001803F8" w:rsidRDefault="00E22EBF" w:rsidP="00E22EBF">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Style w:val="TableGrid"/>
        <w:tblW w:w="9350" w:type="dxa"/>
        <w:tblLook w:val="04A0" w:firstRow="1" w:lastRow="0" w:firstColumn="1" w:lastColumn="0" w:noHBand="0" w:noVBand="1"/>
      </w:tblPr>
      <w:tblGrid>
        <w:gridCol w:w="4585"/>
        <w:gridCol w:w="2520"/>
        <w:gridCol w:w="2245"/>
      </w:tblGrid>
      <w:tr w:rsidR="008F6758" w14:paraId="06EB08D9" w14:textId="77777777" w:rsidTr="008F6758">
        <w:tc>
          <w:tcPr>
            <w:tcW w:w="45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3DFA9C" w14:textId="77777777" w:rsidR="008F6758" w:rsidRDefault="008F6758">
            <w:pPr>
              <w:pStyle w:val="NormalWeb"/>
              <w:rPr>
                <w:rFonts w:ascii="Arial" w:hAnsi="Arial" w:cs="Arial"/>
                <w:b/>
                <w:sz w:val="20"/>
                <w:szCs w:val="20"/>
              </w:rPr>
            </w:pPr>
            <w:r>
              <w:rPr>
                <w:rFonts w:ascii="Arial" w:hAnsi="Arial" w:cs="Arial"/>
                <w:b/>
                <w:sz w:val="20"/>
                <w:szCs w:val="20"/>
              </w:rPr>
              <w:t>Early Bird Rates Through December 5</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C3F523" w14:textId="77777777" w:rsidR="008F6758" w:rsidRDefault="008F6758">
            <w:pPr>
              <w:pStyle w:val="NormalWeb"/>
              <w:jc w:val="right"/>
              <w:rPr>
                <w:rFonts w:ascii="Arial" w:hAnsi="Arial" w:cs="Arial"/>
                <w:b/>
                <w:sz w:val="20"/>
                <w:szCs w:val="20"/>
              </w:rPr>
            </w:pPr>
            <w:r>
              <w:rPr>
                <w:rFonts w:ascii="Arial" w:hAnsi="Arial" w:cs="Arial"/>
                <w:b/>
                <w:sz w:val="20"/>
                <w:szCs w:val="20"/>
              </w:rPr>
              <w:t>Member</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FF79D" w14:textId="77777777" w:rsidR="008F6758" w:rsidRDefault="008F6758">
            <w:pPr>
              <w:pStyle w:val="NormalWeb"/>
              <w:jc w:val="right"/>
              <w:rPr>
                <w:rFonts w:ascii="Arial" w:hAnsi="Arial" w:cs="Arial"/>
                <w:b/>
                <w:sz w:val="20"/>
                <w:szCs w:val="20"/>
              </w:rPr>
            </w:pPr>
            <w:r>
              <w:rPr>
                <w:rFonts w:ascii="Arial" w:hAnsi="Arial" w:cs="Arial"/>
                <w:b/>
                <w:sz w:val="20"/>
                <w:szCs w:val="20"/>
              </w:rPr>
              <w:t>Nonmember</w:t>
            </w:r>
          </w:p>
        </w:tc>
      </w:tr>
      <w:tr w:rsidR="008F6758" w14:paraId="36E797DA"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01BF12E6" w14:textId="77777777" w:rsidR="008F6758" w:rsidRDefault="008F6758">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1A44BF86" w14:textId="1029D73F"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700</w:t>
            </w:r>
          </w:p>
        </w:tc>
        <w:tc>
          <w:tcPr>
            <w:tcW w:w="2245" w:type="dxa"/>
            <w:tcBorders>
              <w:top w:val="single" w:sz="4" w:space="0" w:color="auto"/>
              <w:left w:val="single" w:sz="4" w:space="0" w:color="auto"/>
              <w:bottom w:val="single" w:sz="4" w:space="0" w:color="auto"/>
              <w:right w:val="single" w:sz="4" w:space="0" w:color="auto"/>
            </w:tcBorders>
            <w:hideMark/>
          </w:tcPr>
          <w:p w14:paraId="5A743379" w14:textId="4DF2C00A" w:rsidR="008F6758" w:rsidRDefault="008F6758">
            <w:pPr>
              <w:pStyle w:val="NormalWeb"/>
              <w:jc w:val="right"/>
              <w:rPr>
                <w:rFonts w:ascii="Arial" w:hAnsi="Arial" w:cs="Arial"/>
                <w:b/>
                <w:sz w:val="20"/>
                <w:szCs w:val="20"/>
              </w:rPr>
            </w:pPr>
            <w:r>
              <w:rPr>
                <w:rFonts w:ascii="Arial" w:hAnsi="Arial" w:cs="Arial"/>
                <w:sz w:val="20"/>
                <w:szCs w:val="20"/>
              </w:rPr>
              <w:t>$</w:t>
            </w:r>
            <w:r w:rsidR="00286CAE">
              <w:rPr>
                <w:rFonts w:ascii="Arial" w:hAnsi="Arial" w:cs="Arial"/>
                <w:sz w:val="20"/>
                <w:szCs w:val="20"/>
              </w:rPr>
              <w:t>950</w:t>
            </w:r>
          </w:p>
        </w:tc>
      </w:tr>
      <w:tr w:rsidR="008F6758" w14:paraId="3F0851C0"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6DB95970" w14:textId="77777777" w:rsidR="008F6758" w:rsidRDefault="008F6758">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7AA91652" w14:textId="07504273"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700</w:t>
            </w:r>
          </w:p>
        </w:tc>
        <w:tc>
          <w:tcPr>
            <w:tcW w:w="2245" w:type="dxa"/>
            <w:tcBorders>
              <w:top w:val="single" w:sz="4" w:space="0" w:color="auto"/>
              <w:left w:val="single" w:sz="4" w:space="0" w:color="auto"/>
              <w:bottom w:val="single" w:sz="4" w:space="0" w:color="auto"/>
              <w:right w:val="single" w:sz="4" w:space="0" w:color="auto"/>
            </w:tcBorders>
            <w:hideMark/>
          </w:tcPr>
          <w:p w14:paraId="43CA32B6" w14:textId="5E4623AA"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950</w:t>
            </w:r>
          </w:p>
        </w:tc>
      </w:tr>
      <w:tr w:rsidR="008F6758" w14:paraId="4E51C118"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3D35003A" w14:textId="77777777" w:rsidR="008F6758" w:rsidRDefault="008F6758">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355683DE" w14:textId="20CED445" w:rsidR="008F6758" w:rsidRDefault="008F6758">
            <w:pPr>
              <w:pStyle w:val="NormalWeb"/>
              <w:jc w:val="right"/>
              <w:rPr>
                <w:rFonts w:ascii="Arial" w:hAnsi="Arial" w:cs="Arial"/>
                <w:sz w:val="20"/>
                <w:szCs w:val="20"/>
              </w:rPr>
            </w:pPr>
            <w:r>
              <w:rPr>
                <w:rFonts w:ascii="Arial" w:hAnsi="Arial" w:cs="Arial"/>
                <w:sz w:val="20"/>
                <w:szCs w:val="20"/>
              </w:rPr>
              <w:t>$1</w:t>
            </w:r>
            <w:r w:rsidR="00286CAE">
              <w:rPr>
                <w:rFonts w:ascii="Arial" w:hAnsi="Arial" w:cs="Arial"/>
                <w:sz w:val="20"/>
                <w:szCs w:val="20"/>
              </w:rPr>
              <w:t>525</w:t>
            </w:r>
          </w:p>
        </w:tc>
        <w:tc>
          <w:tcPr>
            <w:tcW w:w="2245" w:type="dxa"/>
            <w:tcBorders>
              <w:top w:val="single" w:sz="4" w:space="0" w:color="auto"/>
              <w:left w:val="single" w:sz="4" w:space="0" w:color="auto"/>
              <w:bottom w:val="single" w:sz="4" w:space="0" w:color="auto"/>
              <w:right w:val="single" w:sz="4" w:space="0" w:color="auto"/>
            </w:tcBorders>
            <w:hideMark/>
          </w:tcPr>
          <w:p w14:paraId="530DAA79" w14:textId="225B22E6"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1675</w:t>
            </w:r>
          </w:p>
        </w:tc>
      </w:tr>
      <w:tr w:rsidR="008F6758" w14:paraId="3870613C" w14:textId="77777777" w:rsidTr="008F6758">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698718" w14:textId="77777777" w:rsidR="008F6758" w:rsidRDefault="008F6758">
            <w:pPr>
              <w:pStyle w:val="NormalWeb"/>
              <w:rPr>
                <w:rFonts w:ascii="Arial" w:hAnsi="Arial" w:cs="Arial"/>
                <w:sz w:val="20"/>
                <w:szCs w:val="20"/>
              </w:rPr>
            </w:pPr>
            <w:r>
              <w:rPr>
                <w:rFonts w:ascii="Arial" w:hAnsi="Arial" w:cs="Arial"/>
                <w:b/>
                <w:sz w:val="20"/>
                <w:szCs w:val="20"/>
              </w:rPr>
              <w:t>Advance Rates Through January 9</w:t>
            </w:r>
          </w:p>
        </w:tc>
      </w:tr>
      <w:tr w:rsidR="008F6758" w14:paraId="0E9157F8"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4A4F1982" w14:textId="77777777" w:rsidR="008F6758" w:rsidRDefault="008F6758">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57925A7B" w14:textId="4B7B705A"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775</w:t>
            </w:r>
          </w:p>
        </w:tc>
        <w:tc>
          <w:tcPr>
            <w:tcW w:w="2245" w:type="dxa"/>
            <w:tcBorders>
              <w:top w:val="single" w:sz="4" w:space="0" w:color="auto"/>
              <w:left w:val="single" w:sz="4" w:space="0" w:color="auto"/>
              <w:bottom w:val="single" w:sz="4" w:space="0" w:color="auto"/>
              <w:right w:val="single" w:sz="4" w:space="0" w:color="auto"/>
            </w:tcBorders>
            <w:hideMark/>
          </w:tcPr>
          <w:p w14:paraId="24A5FAC0" w14:textId="6B991E1E" w:rsidR="008F6758" w:rsidRDefault="008F6758">
            <w:pPr>
              <w:pStyle w:val="NormalWeb"/>
              <w:jc w:val="right"/>
              <w:rPr>
                <w:rFonts w:ascii="Arial" w:hAnsi="Arial" w:cs="Arial"/>
                <w:sz w:val="20"/>
                <w:szCs w:val="20"/>
              </w:rPr>
            </w:pPr>
            <w:r>
              <w:rPr>
                <w:rFonts w:ascii="Arial" w:hAnsi="Arial" w:cs="Arial"/>
                <w:sz w:val="20"/>
                <w:szCs w:val="20"/>
              </w:rPr>
              <w:t>$1</w:t>
            </w:r>
            <w:r w:rsidR="00286CAE">
              <w:rPr>
                <w:rFonts w:ascii="Arial" w:hAnsi="Arial" w:cs="Arial"/>
                <w:sz w:val="20"/>
                <w:szCs w:val="20"/>
              </w:rPr>
              <w:t>025</w:t>
            </w:r>
          </w:p>
        </w:tc>
      </w:tr>
      <w:tr w:rsidR="008F6758" w14:paraId="5548F3A6"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78E86BC1" w14:textId="77777777" w:rsidR="008F6758" w:rsidRDefault="008F6758">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077AC0D4" w14:textId="4B40C987"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775</w:t>
            </w:r>
          </w:p>
        </w:tc>
        <w:tc>
          <w:tcPr>
            <w:tcW w:w="2245" w:type="dxa"/>
            <w:tcBorders>
              <w:top w:val="single" w:sz="4" w:space="0" w:color="auto"/>
              <w:left w:val="single" w:sz="4" w:space="0" w:color="auto"/>
              <w:bottom w:val="single" w:sz="4" w:space="0" w:color="auto"/>
              <w:right w:val="single" w:sz="4" w:space="0" w:color="auto"/>
            </w:tcBorders>
            <w:hideMark/>
          </w:tcPr>
          <w:p w14:paraId="0B444648" w14:textId="3F50572C" w:rsidR="008F6758" w:rsidRDefault="008F6758">
            <w:pPr>
              <w:pStyle w:val="NormalWeb"/>
              <w:jc w:val="right"/>
              <w:rPr>
                <w:rFonts w:ascii="Arial" w:hAnsi="Arial" w:cs="Arial"/>
                <w:sz w:val="20"/>
                <w:szCs w:val="20"/>
              </w:rPr>
            </w:pPr>
            <w:r>
              <w:rPr>
                <w:rFonts w:ascii="Arial" w:hAnsi="Arial" w:cs="Arial"/>
                <w:sz w:val="20"/>
                <w:szCs w:val="20"/>
              </w:rPr>
              <w:t>$1</w:t>
            </w:r>
            <w:r w:rsidR="00286CAE">
              <w:rPr>
                <w:rFonts w:ascii="Arial" w:hAnsi="Arial" w:cs="Arial"/>
                <w:sz w:val="20"/>
                <w:szCs w:val="20"/>
              </w:rPr>
              <w:t>025</w:t>
            </w:r>
          </w:p>
        </w:tc>
      </w:tr>
      <w:tr w:rsidR="008F6758" w14:paraId="5224E070"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6AB809AF" w14:textId="77777777" w:rsidR="008F6758" w:rsidRDefault="008F6758">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31586B5F" w14:textId="6E3030B8" w:rsidR="008F6758" w:rsidRDefault="008F6758">
            <w:pPr>
              <w:pStyle w:val="NormalWeb"/>
              <w:jc w:val="right"/>
              <w:rPr>
                <w:rFonts w:ascii="Arial" w:hAnsi="Arial" w:cs="Arial"/>
                <w:sz w:val="20"/>
                <w:szCs w:val="20"/>
              </w:rPr>
            </w:pPr>
            <w:r>
              <w:rPr>
                <w:rFonts w:ascii="Arial" w:hAnsi="Arial" w:cs="Arial"/>
                <w:sz w:val="20"/>
                <w:szCs w:val="20"/>
              </w:rPr>
              <w:t>$1</w:t>
            </w:r>
            <w:r w:rsidR="00286CAE">
              <w:rPr>
                <w:rFonts w:ascii="Arial" w:hAnsi="Arial" w:cs="Arial"/>
                <w:sz w:val="20"/>
                <w:szCs w:val="20"/>
              </w:rPr>
              <w:t>600</w:t>
            </w:r>
          </w:p>
        </w:tc>
        <w:tc>
          <w:tcPr>
            <w:tcW w:w="2245" w:type="dxa"/>
            <w:tcBorders>
              <w:top w:val="single" w:sz="4" w:space="0" w:color="auto"/>
              <w:left w:val="single" w:sz="4" w:space="0" w:color="auto"/>
              <w:bottom w:val="single" w:sz="4" w:space="0" w:color="auto"/>
              <w:right w:val="single" w:sz="4" w:space="0" w:color="auto"/>
            </w:tcBorders>
            <w:hideMark/>
          </w:tcPr>
          <w:p w14:paraId="281BEB76" w14:textId="7E5EB070"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1850</w:t>
            </w:r>
          </w:p>
        </w:tc>
      </w:tr>
      <w:tr w:rsidR="008F6758" w14:paraId="343BFB98" w14:textId="77777777" w:rsidTr="008F6758">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C308F8" w14:textId="77777777" w:rsidR="008F6758" w:rsidRDefault="008F6758">
            <w:pPr>
              <w:pStyle w:val="NormalWeb"/>
              <w:rPr>
                <w:rFonts w:ascii="Arial" w:hAnsi="Arial" w:cs="Arial"/>
                <w:sz w:val="20"/>
                <w:szCs w:val="20"/>
              </w:rPr>
            </w:pPr>
            <w:r>
              <w:rPr>
                <w:rFonts w:ascii="Arial" w:hAnsi="Arial" w:cs="Arial"/>
                <w:b/>
                <w:sz w:val="20"/>
                <w:szCs w:val="20"/>
              </w:rPr>
              <w:t>Standard Rates Beginning January 10</w:t>
            </w:r>
          </w:p>
        </w:tc>
      </w:tr>
      <w:tr w:rsidR="008F6758" w14:paraId="27E2A9AF"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7C2FC677" w14:textId="77777777" w:rsidR="008F6758" w:rsidRDefault="008F6758">
            <w:pPr>
              <w:pStyle w:val="NormalWeb"/>
              <w:rPr>
                <w:rFonts w:ascii="Arial" w:hAnsi="Arial" w:cs="Arial"/>
                <w:b/>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4FDDB1AD" w14:textId="22DE12CE"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850</w:t>
            </w:r>
          </w:p>
        </w:tc>
        <w:tc>
          <w:tcPr>
            <w:tcW w:w="2245" w:type="dxa"/>
            <w:tcBorders>
              <w:top w:val="single" w:sz="4" w:space="0" w:color="auto"/>
              <w:left w:val="single" w:sz="4" w:space="0" w:color="auto"/>
              <w:bottom w:val="single" w:sz="4" w:space="0" w:color="auto"/>
              <w:right w:val="single" w:sz="4" w:space="0" w:color="auto"/>
            </w:tcBorders>
            <w:hideMark/>
          </w:tcPr>
          <w:p w14:paraId="06F609CD" w14:textId="34A75362" w:rsidR="008F6758" w:rsidRDefault="008F6758">
            <w:pPr>
              <w:pStyle w:val="NormalWeb"/>
              <w:jc w:val="right"/>
              <w:rPr>
                <w:rFonts w:ascii="Arial" w:hAnsi="Arial" w:cs="Arial"/>
                <w:sz w:val="20"/>
                <w:szCs w:val="20"/>
              </w:rPr>
            </w:pPr>
            <w:r>
              <w:rPr>
                <w:rFonts w:ascii="Arial" w:hAnsi="Arial" w:cs="Arial"/>
                <w:sz w:val="20"/>
                <w:szCs w:val="20"/>
              </w:rPr>
              <w:t>$1</w:t>
            </w:r>
            <w:r w:rsidR="00286CAE">
              <w:rPr>
                <w:rFonts w:ascii="Arial" w:hAnsi="Arial" w:cs="Arial"/>
                <w:sz w:val="20"/>
                <w:szCs w:val="20"/>
              </w:rPr>
              <w:t>100</w:t>
            </w:r>
          </w:p>
        </w:tc>
      </w:tr>
      <w:tr w:rsidR="008F6758" w14:paraId="4286EF5E"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3D94587F" w14:textId="77777777" w:rsidR="008F6758" w:rsidRDefault="008F6758">
            <w:pPr>
              <w:pStyle w:val="NormalWeb"/>
              <w:rPr>
                <w:rFonts w:ascii="Arial" w:hAnsi="Arial" w:cs="Arial"/>
                <w:b/>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7F13C345" w14:textId="0EDA051C" w:rsidR="008F6758" w:rsidRDefault="008F6758">
            <w:pPr>
              <w:pStyle w:val="NormalWeb"/>
              <w:jc w:val="right"/>
              <w:rPr>
                <w:rFonts w:ascii="Arial" w:hAnsi="Arial" w:cs="Arial"/>
                <w:sz w:val="20"/>
                <w:szCs w:val="20"/>
              </w:rPr>
            </w:pPr>
            <w:r>
              <w:rPr>
                <w:rFonts w:ascii="Arial" w:hAnsi="Arial" w:cs="Arial"/>
                <w:sz w:val="20"/>
                <w:szCs w:val="20"/>
              </w:rPr>
              <w:t>$</w:t>
            </w:r>
            <w:r w:rsidR="00286CAE">
              <w:rPr>
                <w:rFonts w:ascii="Arial" w:hAnsi="Arial" w:cs="Arial"/>
                <w:sz w:val="20"/>
                <w:szCs w:val="20"/>
              </w:rPr>
              <w:t>850</w:t>
            </w:r>
          </w:p>
        </w:tc>
        <w:tc>
          <w:tcPr>
            <w:tcW w:w="2245" w:type="dxa"/>
            <w:tcBorders>
              <w:top w:val="single" w:sz="4" w:space="0" w:color="auto"/>
              <w:left w:val="single" w:sz="4" w:space="0" w:color="auto"/>
              <w:bottom w:val="single" w:sz="4" w:space="0" w:color="auto"/>
              <w:right w:val="single" w:sz="4" w:space="0" w:color="auto"/>
            </w:tcBorders>
            <w:hideMark/>
          </w:tcPr>
          <w:p w14:paraId="343724AE" w14:textId="19FE09D5" w:rsidR="008F6758" w:rsidRDefault="008F6758">
            <w:pPr>
              <w:pStyle w:val="NormalWeb"/>
              <w:jc w:val="right"/>
              <w:rPr>
                <w:rFonts w:ascii="Arial" w:hAnsi="Arial" w:cs="Arial"/>
                <w:b/>
                <w:sz w:val="20"/>
                <w:szCs w:val="20"/>
              </w:rPr>
            </w:pPr>
            <w:r>
              <w:rPr>
                <w:rFonts w:ascii="Arial" w:hAnsi="Arial" w:cs="Arial"/>
                <w:sz w:val="20"/>
                <w:szCs w:val="20"/>
              </w:rPr>
              <w:t>$1</w:t>
            </w:r>
            <w:r w:rsidR="00286CAE">
              <w:rPr>
                <w:rFonts w:ascii="Arial" w:hAnsi="Arial" w:cs="Arial"/>
                <w:sz w:val="20"/>
                <w:szCs w:val="20"/>
              </w:rPr>
              <w:t>100</w:t>
            </w:r>
          </w:p>
        </w:tc>
      </w:tr>
      <w:tr w:rsidR="008F6758" w14:paraId="05D1DA3B" w14:textId="77777777" w:rsidTr="008F6758">
        <w:tc>
          <w:tcPr>
            <w:tcW w:w="4585" w:type="dxa"/>
            <w:tcBorders>
              <w:top w:val="single" w:sz="4" w:space="0" w:color="auto"/>
              <w:left w:val="single" w:sz="4" w:space="0" w:color="auto"/>
              <w:bottom w:val="single" w:sz="4" w:space="0" w:color="auto"/>
              <w:right w:val="single" w:sz="4" w:space="0" w:color="auto"/>
            </w:tcBorders>
            <w:hideMark/>
          </w:tcPr>
          <w:p w14:paraId="4D99BFEA" w14:textId="77777777" w:rsidR="008F6758" w:rsidRDefault="008F6758">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1E645AE3" w14:textId="3049AD82" w:rsidR="008F6758" w:rsidRDefault="008F6758">
            <w:pPr>
              <w:pStyle w:val="NormalWeb"/>
              <w:jc w:val="right"/>
              <w:rPr>
                <w:rFonts w:ascii="Arial" w:hAnsi="Arial" w:cs="Arial"/>
                <w:sz w:val="20"/>
                <w:szCs w:val="20"/>
              </w:rPr>
            </w:pPr>
            <w:r>
              <w:rPr>
                <w:rFonts w:ascii="Arial" w:hAnsi="Arial" w:cs="Arial"/>
                <w:sz w:val="20"/>
                <w:szCs w:val="20"/>
              </w:rPr>
              <w:t>$1</w:t>
            </w:r>
            <w:r w:rsidR="00286CAE">
              <w:rPr>
                <w:rFonts w:ascii="Arial" w:hAnsi="Arial" w:cs="Arial"/>
                <w:sz w:val="20"/>
                <w:szCs w:val="20"/>
              </w:rPr>
              <w:t>675</w:t>
            </w:r>
            <w:bookmarkStart w:id="0" w:name="_GoBack"/>
            <w:bookmarkEnd w:id="0"/>
          </w:p>
        </w:tc>
        <w:tc>
          <w:tcPr>
            <w:tcW w:w="2245" w:type="dxa"/>
            <w:tcBorders>
              <w:top w:val="single" w:sz="4" w:space="0" w:color="auto"/>
              <w:left w:val="single" w:sz="4" w:space="0" w:color="auto"/>
              <w:bottom w:val="single" w:sz="4" w:space="0" w:color="auto"/>
              <w:right w:val="single" w:sz="4" w:space="0" w:color="auto"/>
            </w:tcBorders>
            <w:hideMark/>
          </w:tcPr>
          <w:p w14:paraId="0AFF7901" w14:textId="647B55D0" w:rsidR="008F6758" w:rsidRDefault="008F6758">
            <w:pPr>
              <w:pStyle w:val="NormalWeb"/>
              <w:jc w:val="right"/>
              <w:rPr>
                <w:rFonts w:ascii="Arial" w:hAnsi="Arial" w:cs="Arial"/>
                <w:b/>
                <w:sz w:val="20"/>
                <w:szCs w:val="20"/>
              </w:rPr>
            </w:pPr>
            <w:r>
              <w:rPr>
                <w:rFonts w:ascii="Arial" w:hAnsi="Arial" w:cs="Arial"/>
                <w:sz w:val="20"/>
                <w:szCs w:val="20"/>
              </w:rPr>
              <w:t>$</w:t>
            </w:r>
            <w:r w:rsidR="00286CAE">
              <w:rPr>
                <w:rFonts w:ascii="Arial" w:hAnsi="Arial" w:cs="Arial"/>
                <w:sz w:val="20"/>
                <w:szCs w:val="20"/>
              </w:rPr>
              <w:t>1925</w:t>
            </w:r>
          </w:p>
        </w:tc>
      </w:tr>
    </w:tbl>
    <w:p w14:paraId="5EADCC1E" w14:textId="77777777" w:rsidR="00E22EBF" w:rsidRPr="007D14BF" w:rsidRDefault="00E22EBF" w:rsidP="00E22EBF">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4C7C8E10" w14:textId="77777777" w:rsidR="00E22EBF" w:rsidRPr="001803F8" w:rsidRDefault="00E22EBF" w:rsidP="00E22EBF">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sidR="007D356E">
        <w:rPr>
          <w:rFonts w:ascii="Arial" w:hAnsi="Arial" w:cs="Arial"/>
          <w:sz w:val="20"/>
          <w:szCs w:val="20"/>
        </w:rPr>
        <w:t xml:space="preserve">DIA’s </w:t>
      </w:r>
      <w:r w:rsidR="0059215B" w:rsidRPr="0059215B">
        <w:rPr>
          <w:rFonts w:ascii="Arial" w:hAnsi="Arial" w:cs="Arial"/>
          <w:i/>
          <w:sz w:val="20"/>
          <w:szCs w:val="20"/>
        </w:rPr>
        <w:t>Pharmacovigilance and Risk Management Strategies Conference</w:t>
      </w:r>
      <w:r>
        <w:rPr>
          <w:rFonts w:ascii="Arial" w:hAnsi="Arial" w:cs="Arial"/>
          <w:i/>
          <w:sz w:val="20"/>
          <w:szCs w:val="20"/>
        </w:rPr>
        <w:t>,</w:t>
      </w:r>
      <w:r w:rsidRPr="001803F8">
        <w:rPr>
          <w:rFonts w:ascii="Arial" w:hAnsi="Arial" w:cs="Arial"/>
          <w:sz w:val="20"/>
          <w:szCs w:val="20"/>
        </w:rPr>
        <w:t xml:space="preserve"> </w:t>
      </w:r>
      <w:r w:rsidR="007D356E">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14:paraId="6162DC9E" w14:textId="77777777" w:rsidR="00E22EBF" w:rsidRPr="001803F8" w:rsidRDefault="00E22EBF" w:rsidP="00E22EBF">
      <w:pPr>
        <w:pStyle w:val="NormalWeb"/>
        <w:rPr>
          <w:rFonts w:ascii="Arial" w:hAnsi="Arial" w:cs="Arial"/>
          <w:sz w:val="20"/>
          <w:szCs w:val="20"/>
        </w:rPr>
      </w:pPr>
      <w:r w:rsidRPr="001803F8">
        <w:rPr>
          <w:rFonts w:ascii="Arial" w:hAnsi="Arial" w:cs="Arial"/>
          <w:sz w:val="20"/>
          <w:szCs w:val="20"/>
        </w:rPr>
        <w:t>Sincerely,</w:t>
      </w:r>
    </w:p>
    <w:p w14:paraId="28B68D50" w14:textId="77777777" w:rsidR="00E22EBF" w:rsidRPr="001803F8" w:rsidRDefault="00E22EBF" w:rsidP="00E22EBF">
      <w:pPr>
        <w:rPr>
          <w:rFonts w:ascii="Arial" w:hAnsi="Arial" w:cs="Arial"/>
        </w:rPr>
      </w:pPr>
    </w:p>
    <w:p w14:paraId="7E580FD3" w14:textId="77777777"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7718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BF"/>
    <w:rsid w:val="00034EAC"/>
    <w:rsid w:val="001030ED"/>
    <w:rsid w:val="001256B6"/>
    <w:rsid w:val="00131269"/>
    <w:rsid w:val="001403C7"/>
    <w:rsid w:val="001840A5"/>
    <w:rsid w:val="00184B1B"/>
    <w:rsid w:val="00187171"/>
    <w:rsid w:val="00190C35"/>
    <w:rsid w:val="001B2802"/>
    <w:rsid w:val="001F781B"/>
    <w:rsid w:val="00211AD5"/>
    <w:rsid w:val="00213F83"/>
    <w:rsid w:val="00222420"/>
    <w:rsid w:val="00231677"/>
    <w:rsid w:val="00246398"/>
    <w:rsid w:val="00267AB1"/>
    <w:rsid w:val="00283FCF"/>
    <w:rsid w:val="00286CAE"/>
    <w:rsid w:val="002879C2"/>
    <w:rsid w:val="0029276E"/>
    <w:rsid w:val="00293F44"/>
    <w:rsid w:val="002945ED"/>
    <w:rsid w:val="002A4EFC"/>
    <w:rsid w:val="002C4133"/>
    <w:rsid w:val="002E1B0B"/>
    <w:rsid w:val="003323CE"/>
    <w:rsid w:val="003464BC"/>
    <w:rsid w:val="003579EB"/>
    <w:rsid w:val="00357A6B"/>
    <w:rsid w:val="00392B3F"/>
    <w:rsid w:val="003C293D"/>
    <w:rsid w:val="003C545D"/>
    <w:rsid w:val="003F437E"/>
    <w:rsid w:val="00424B10"/>
    <w:rsid w:val="00431E36"/>
    <w:rsid w:val="00442C25"/>
    <w:rsid w:val="004455AF"/>
    <w:rsid w:val="004602D5"/>
    <w:rsid w:val="0047531B"/>
    <w:rsid w:val="004B131F"/>
    <w:rsid w:val="004B205B"/>
    <w:rsid w:val="004D73EB"/>
    <w:rsid w:val="004E22F4"/>
    <w:rsid w:val="005034DD"/>
    <w:rsid w:val="00567125"/>
    <w:rsid w:val="0059215B"/>
    <w:rsid w:val="005A2E1F"/>
    <w:rsid w:val="005B18B7"/>
    <w:rsid w:val="005C021F"/>
    <w:rsid w:val="005C6741"/>
    <w:rsid w:val="00620E65"/>
    <w:rsid w:val="0069719E"/>
    <w:rsid w:val="006A4AA5"/>
    <w:rsid w:val="006E42F4"/>
    <w:rsid w:val="007121C5"/>
    <w:rsid w:val="007C3CD4"/>
    <w:rsid w:val="007D356E"/>
    <w:rsid w:val="007E4702"/>
    <w:rsid w:val="00821986"/>
    <w:rsid w:val="00822A17"/>
    <w:rsid w:val="008668C3"/>
    <w:rsid w:val="00870042"/>
    <w:rsid w:val="00882116"/>
    <w:rsid w:val="00895326"/>
    <w:rsid w:val="008A4403"/>
    <w:rsid w:val="008B15A3"/>
    <w:rsid w:val="008D664A"/>
    <w:rsid w:val="008D6AA9"/>
    <w:rsid w:val="008F6758"/>
    <w:rsid w:val="00923F5B"/>
    <w:rsid w:val="009578ED"/>
    <w:rsid w:val="00961AE8"/>
    <w:rsid w:val="00994F5F"/>
    <w:rsid w:val="009D61DD"/>
    <w:rsid w:val="009F2310"/>
    <w:rsid w:val="00A748EE"/>
    <w:rsid w:val="00A90181"/>
    <w:rsid w:val="00A924A2"/>
    <w:rsid w:val="00AD2128"/>
    <w:rsid w:val="00AE6572"/>
    <w:rsid w:val="00B027EA"/>
    <w:rsid w:val="00B34F85"/>
    <w:rsid w:val="00B51C96"/>
    <w:rsid w:val="00B92394"/>
    <w:rsid w:val="00BA58C2"/>
    <w:rsid w:val="00BC175E"/>
    <w:rsid w:val="00BC1A6D"/>
    <w:rsid w:val="00BD309D"/>
    <w:rsid w:val="00C12C72"/>
    <w:rsid w:val="00C47A5C"/>
    <w:rsid w:val="00C67CE9"/>
    <w:rsid w:val="00C92F94"/>
    <w:rsid w:val="00CA371B"/>
    <w:rsid w:val="00CA4338"/>
    <w:rsid w:val="00D06535"/>
    <w:rsid w:val="00D073B2"/>
    <w:rsid w:val="00D154B8"/>
    <w:rsid w:val="00D23E38"/>
    <w:rsid w:val="00D51CD0"/>
    <w:rsid w:val="00D60578"/>
    <w:rsid w:val="00D60F45"/>
    <w:rsid w:val="00DA1467"/>
    <w:rsid w:val="00DB64B7"/>
    <w:rsid w:val="00DC1EB9"/>
    <w:rsid w:val="00DD7704"/>
    <w:rsid w:val="00DE1FD1"/>
    <w:rsid w:val="00E22E96"/>
    <w:rsid w:val="00E22EBF"/>
    <w:rsid w:val="00E27E34"/>
    <w:rsid w:val="00E37C88"/>
    <w:rsid w:val="00F02335"/>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2A6D"/>
  <w15:chartTrackingRefBased/>
  <w15:docId w15:val="{DA8E53BD-466F-4585-8132-0F2D7DFC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EB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22EBF"/>
    <w:pPr>
      <w:ind w:left="720"/>
      <w:contextualSpacing/>
    </w:pPr>
  </w:style>
  <w:style w:type="character" w:styleId="Strong">
    <w:name w:val="Strong"/>
    <w:basedOn w:val="DefaultParagraphFont"/>
    <w:uiPriority w:val="22"/>
    <w:qFormat/>
    <w:rsid w:val="00E22EBF"/>
    <w:rPr>
      <w:b/>
      <w:bCs/>
    </w:rPr>
  </w:style>
  <w:style w:type="character" w:styleId="Hyperlink">
    <w:name w:val="Hyperlink"/>
    <w:basedOn w:val="DefaultParagraphFont"/>
    <w:uiPriority w:val="99"/>
    <w:unhideWhenUsed/>
    <w:rsid w:val="00E22EBF"/>
    <w:rPr>
      <w:color w:val="0000FF"/>
      <w:u w:val="single"/>
    </w:rPr>
  </w:style>
  <w:style w:type="table" w:styleId="TableGrid">
    <w:name w:val="Table Grid"/>
    <w:basedOn w:val="TableNormal"/>
    <w:uiPriority w:val="59"/>
    <w:rsid w:val="00E22E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global.org/en/conference-listing/meetings/2020/01/pharmacovigilance-and-risk-management-strategies-conference/hotel-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Theresa Keeny</cp:lastModifiedBy>
  <cp:revision>4</cp:revision>
  <dcterms:created xsi:type="dcterms:W3CDTF">2020-01-29T18:26:00Z</dcterms:created>
  <dcterms:modified xsi:type="dcterms:W3CDTF">2020-09-18T12:48:00Z</dcterms:modified>
</cp:coreProperties>
</file>